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226693" w14:textId="2857EAA5" w:rsidR="00CC447F" w:rsidRPr="00D92621" w:rsidRDefault="00F4691F" w:rsidP="00D92621">
      <w:pPr>
        <w:pStyle w:val="Normal1"/>
        <w:jc w:val="center"/>
        <w:rPr>
          <w:b/>
          <w:lang w:val="es-ES_tradnl"/>
        </w:rPr>
      </w:pPr>
      <w:r w:rsidRPr="00D92621">
        <w:rPr>
          <w:b/>
          <w:lang w:val="es-ES_tradnl"/>
        </w:rPr>
        <w:t xml:space="preserve">Grupo de Trabajo </w:t>
      </w:r>
      <w:r w:rsidR="000A1BEC" w:rsidRPr="00D92621">
        <w:rPr>
          <w:b/>
          <w:lang w:val="es-ES_tradnl"/>
        </w:rPr>
        <w:t>“</w:t>
      </w:r>
      <w:r w:rsidRPr="00D92621">
        <w:rPr>
          <w:b/>
          <w:lang w:val="es-ES_tradnl"/>
        </w:rPr>
        <w:t xml:space="preserve">Vivienda, </w:t>
      </w:r>
      <w:r w:rsidR="002372D7" w:rsidRPr="00D92621">
        <w:rPr>
          <w:b/>
          <w:lang w:val="es-ES_tradnl"/>
        </w:rPr>
        <w:t>Tierra</w:t>
      </w:r>
      <w:r w:rsidRPr="00D92621">
        <w:rPr>
          <w:b/>
          <w:lang w:val="es-ES_tradnl"/>
        </w:rPr>
        <w:t xml:space="preserve"> y Propiedad</w:t>
      </w:r>
      <w:r w:rsidR="000A1BEC" w:rsidRPr="00D92621">
        <w:rPr>
          <w:b/>
          <w:lang w:val="es-ES_tradnl"/>
        </w:rPr>
        <w:t>”</w:t>
      </w:r>
    </w:p>
    <w:p w14:paraId="10C5E248" w14:textId="77777777" w:rsidR="00F4691F" w:rsidRPr="00D92621" w:rsidRDefault="00F4691F" w:rsidP="00D92621">
      <w:pPr>
        <w:pStyle w:val="Normal1"/>
        <w:jc w:val="center"/>
        <w:rPr>
          <w:b/>
          <w:lang w:val="es-ES_tradnl"/>
        </w:rPr>
      </w:pPr>
      <w:r w:rsidRPr="00D92621">
        <w:rPr>
          <w:b/>
          <w:lang w:val="es-ES_tradnl"/>
        </w:rPr>
        <w:t>Sector Protección- Sector Vivienda</w:t>
      </w:r>
    </w:p>
    <w:p w14:paraId="1286A592" w14:textId="77777777" w:rsidR="002372D7" w:rsidRPr="00D92621" w:rsidRDefault="002372D7" w:rsidP="00D92621">
      <w:pPr>
        <w:pStyle w:val="Normal1"/>
        <w:jc w:val="center"/>
        <w:rPr>
          <w:b/>
          <w:lang w:val="es-ES_tradnl"/>
        </w:rPr>
      </w:pPr>
    </w:p>
    <w:p w14:paraId="528A9B78" w14:textId="53959D21" w:rsidR="002372D7" w:rsidRPr="00D92621" w:rsidRDefault="00C44DB8" w:rsidP="00D92621">
      <w:pPr>
        <w:pStyle w:val="Normal1"/>
        <w:ind w:left="720" w:hanging="720"/>
        <w:jc w:val="center"/>
        <w:rPr>
          <w:b/>
          <w:lang w:val="es-ES_tradnl"/>
        </w:rPr>
      </w:pPr>
      <w:r>
        <w:rPr>
          <w:b/>
          <w:lang w:val="es-ES_tradnl"/>
        </w:rPr>
        <w:t>Comentarios preliminares</w:t>
      </w:r>
    </w:p>
    <w:p w14:paraId="513D077A" w14:textId="1E712F80" w:rsidR="00CC447F" w:rsidRPr="00D92621" w:rsidRDefault="00CC447F" w:rsidP="00D92621">
      <w:pPr>
        <w:pStyle w:val="Normal1"/>
        <w:jc w:val="both"/>
        <w:rPr>
          <w:lang w:val="es-ES_tradnl"/>
        </w:rPr>
      </w:pPr>
    </w:p>
    <w:p w14:paraId="27B9EA95" w14:textId="5D3DDCAF" w:rsidR="00F4691F" w:rsidRPr="00D92621" w:rsidRDefault="00D47CFA" w:rsidP="00D92621">
      <w:pPr>
        <w:pStyle w:val="Normal1"/>
        <w:jc w:val="both"/>
        <w:rPr>
          <w:lang w:val="es-MX"/>
        </w:rPr>
      </w:pPr>
      <w:r w:rsidRPr="00D92621">
        <w:rPr>
          <w:b/>
          <w:lang w:val="es-ES_tradnl"/>
        </w:rPr>
        <w:t>Fecha:</w:t>
      </w:r>
      <w:r w:rsidRPr="00D92621">
        <w:rPr>
          <w:lang w:val="es-ES_tradnl"/>
        </w:rPr>
        <w:t xml:space="preserve"> </w:t>
      </w:r>
      <w:r w:rsidR="00522A4F">
        <w:rPr>
          <w:lang w:val="es-ES_tradnl"/>
        </w:rPr>
        <w:t>13</w:t>
      </w:r>
      <w:r w:rsidRPr="00D92621">
        <w:rPr>
          <w:lang w:val="es-ES_tradnl"/>
        </w:rPr>
        <w:t>/0</w:t>
      </w:r>
      <w:r w:rsidR="001C2F24" w:rsidRPr="00D92621">
        <w:rPr>
          <w:lang w:val="es-ES_tradnl"/>
        </w:rPr>
        <w:t>7</w:t>
      </w:r>
      <w:r w:rsidRPr="00D92621">
        <w:rPr>
          <w:lang w:val="es-ES_tradnl"/>
        </w:rPr>
        <w:t>/2016</w:t>
      </w:r>
    </w:p>
    <w:p w14:paraId="149634AA" w14:textId="77777777" w:rsidR="001E0CC8" w:rsidRPr="00D92621" w:rsidRDefault="001E0CC8" w:rsidP="00D92621">
      <w:pPr>
        <w:pStyle w:val="Normal1"/>
        <w:jc w:val="both"/>
        <w:rPr>
          <w:lang w:val="es-ES_tradnl"/>
        </w:rPr>
      </w:pPr>
    </w:p>
    <w:p w14:paraId="7BF62F5E" w14:textId="3188471A" w:rsidR="00C44DB8" w:rsidRPr="00C44DB8" w:rsidRDefault="00D47CFA" w:rsidP="00C44DB8">
      <w:pPr>
        <w:pStyle w:val="Normal1"/>
        <w:jc w:val="both"/>
        <w:rPr>
          <w:lang w:val="es-ES_tradnl"/>
        </w:rPr>
      </w:pPr>
      <w:r w:rsidRPr="00D92621">
        <w:rPr>
          <w:b/>
          <w:lang w:val="es-ES_tradnl"/>
        </w:rPr>
        <w:t>Asunto:</w:t>
      </w:r>
      <w:r w:rsidRPr="00D92621">
        <w:rPr>
          <w:lang w:val="es-ES_tradnl"/>
        </w:rPr>
        <w:t xml:space="preserve"> </w:t>
      </w:r>
      <w:r w:rsidR="002C2191">
        <w:rPr>
          <w:lang w:val="es-ES_tradnl"/>
        </w:rPr>
        <w:t>N</w:t>
      </w:r>
      <w:r w:rsidR="00C44DB8" w:rsidRPr="00C44DB8">
        <w:rPr>
          <w:lang w:val="es-ES_tradnl"/>
        </w:rPr>
        <w:t>uevo “Reglamento para la recuperación habitacional  de los damnificados del terremoto del 16 de abril de 2016”.</w:t>
      </w:r>
    </w:p>
    <w:p w14:paraId="2E84119A" w14:textId="77777777" w:rsidR="00C44DB8" w:rsidRPr="00C44DB8" w:rsidRDefault="00C44DB8" w:rsidP="00C44DB8">
      <w:pPr>
        <w:pStyle w:val="Normal1"/>
        <w:jc w:val="both"/>
        <w:rPr>
          <w:lang w:val="es-ES_tradnl"/>
        </w:rPr>
      </w:pPr>
    </w:p>
    <w:p w14:paraId="1BA3FC84" w14:textId="77777777" w:rsidR="00C44DB8" w:rsidRPr="00C44DB8" w:rsidRDefault="00C44DB8" w:rsidP="002C2191">
      <w:pPr>
        <w:pStyle w:val="Normal1"/>
        <w:numPr>
          <w:ilvl w:val="0"/>
          <w:numId w:val="6"/>
        </w:numPr>
        <w:jc w:val="both"/>
        <w:rPr>
          <w:lang w:val="es-ES_tradnl"/>
        </w:rPr>
      </w:pPr>
      <w:r w:rsidRPr="00C44DB8">
        <w:rPr>
          <w:lang w:val="es-ES_tradnl"/>
        </w:rPr>
        <w:t>Cabe resaltar que el nuevo reglamento incluye como beneficiarios a los poseedores (art.2), lo cual implica un avance en el reconocimiento de derechos de Vivienda, Tierra y Propiedad (</w:t>
      </w:r>
      <w:proofErr w:type="spellStart"/>
      <w:r w:rsidRPr="00C44DB8">
        <w:rPr>
          <w:lang w:val="es-ES_tradnl"/>
        </w:rPr>
        <w:t>VTP</w:t>
      </w:r>
      <w:proofErr w:type="spellEnd"/>
      <w:r w:rsidRPr="00C44DB8">
        <w:rPr>
          <w:lang w:val="es-ES_tradnl"/>
        </w:rPr>
        <w:t xml:space="preserve">) respecto del anterior reglamento. Además, se señala que “la entrega de cada instrumento de recuperación habitacional  no estará sujeta a  la justificación de la condición de propietaria, arrendatario o poseedor del beneficiario de manera inmediata […] Sin embargo, luego de la entrega  del incentivo y una vez que se haya firmado el Acta de Entrega de Recepción de la vivienda nueva o recuperada, el beneficiario deberá presentar  los justificativos hasta en el término de 90 días, de acuerdo a las formas probatorias existentes para cada caso, como propietario, arrendatario o poseedor[…]” (art. 4). En el mismo sentido se manifiesta que el expediente deberá contener, entre otros: “Documento que acredite su condición de propietario, poseedor, o arrendatario. En caso de tenerlo se entregará de manera inmediata, y en caso de no tenerlo, el beneficiario deberá presentar justificativos  hasta en el término de 90 días, de acuerdo a las formas existentes para cada caso, conforme lo establecido en el presente instrumento” (art.7.4). La disposición transitoria segunda insiste en que “el </w:t>
      </w:r>
      <w:proofErr w:type="spellStart"/>
      <w:r w:rsidRPr="00C44DB8">
        <w:rPr>
          <w:lang w:val="es-ES_tradnl"/>
        </w:rPr>
        <w:t>MIDUVI</w:t>
      </w:r>
      <w:proofErr w:type="spellEnd"/>
      <w:r w:rsidRPr="00C44DB8">
        <w:rPr>
          <w:lang w:val="es-ES_tradnl"/>
        </w:rPr>
        <w:t xml:space="preserve">  concederá  un término de noventa (90) días contados a partir de la entrega del beneficio, para que los propietarios, posesionarios o arrendatarios para que presenten y obtengan los justificativos que demuestren su calidad”. </w:t>
      </w:r>
    </w:p>
    <w:p w14:paraId="7D1B16F0" w14:textId="77777777" w:rsidR="00C44DB8" w:rsidRPr="00C44DB8" w:rsidRDefault="00C44DB8" w:rsidP="00C44DB8">
      <w:pPr>
        <w:pStyle w:val="Normal1"/>
        <w:jc w:val="both"/>
        <w:rPr>
          <w:lang w:val="es-ES_tradnl"/>
        </w:rPr>
      </w:pPr>
    </w:p>
    <w:p w14:paraId="134BDDDE" w14:textId="77777777" w:rsidR="00C44DB8" w:rsidRPr="00C44DB8" w:rsidRDefault="00C44DB8" w:rsidP="002C2191">
      <w:pPr>
        <w:pStyle w:val="Normal1"/>
        <w:numPr>
          <w:ilvl w:val="0"/>
          <w:numId w:val="6"/>
        </w:numPr>
        <w:jc w:val="both"/>
        <w:rPr>
          <w:lang w:val="es-ES_tradnl"/>
        </w:rPr>
      </w:pPr>
      <w:r w:rsidRPr="00C44DB8">
        <w:rPr>
          <w:lang w:val="es-ES_tradnl"/>
        </w:rPr>
        <w:t>El reglamento no detalla cuales será las formas probatorias para cada caso. En la disposición transitoria tercera se aclara que “</w:t>
      </w:r>
      <w:proofErr w:type="spellStart"/>
      <w:r w:rsidRPr="00C44DB8">
        <w:rPr>
          <w:lang w:val="es-ES_tradnl"/>
        </w:rPr>
        <w:t>MIDUVI</w:t>
      </w:r>
      <w:proofErr w:type="spellEnd"/>
      <w:r w:rsidRPr="00C44DB8">
        <w:rPr>
          <w:lang w:val="es-ES_tradnl"/>
        </w:rPr>
        <w:t xml:space="preserve"> expedirá los procedimientos y demás documentos a los que se hace mención el presente reglamento y todos aquellos que fueren necesarios para su adecuada aplicación”. En consecuencia, es oportuno continuar abogando ante el </w:t>
      </w:r>
      <w:proofErr w:type="spellStart"/>
      <w:r w:rsidRPr="00C44DB8">
        <w:rPr>
          <w:lang w:val="es-ES_tradnl"/>
        </w:rPr>
        <w:t>MIDUVI</w:t>
      </w:r>
      <w:proofErr w:type="spellEnd"/>
      <w:r w:rsidRPr="00C44DB8">
        <w:rPr>
          <w:lang w:val="es-ES_tradnl"/>
        </w:rPr>
        <w:t xml:space="preserve"> para que estos instrumentos jurídicos tengan un enfoque amplio de derechos de </w:t>
      </w:r>
      <w:proofErr w:type="spellStart"/>
      <w:r w:rsidRPr="00C44DB8">
        <w:rPr>
          <w:lang w:val="es-ES_tradnl"/>
        </w:rPr>
        <w:t>VTP</w:t>
      </w:r>
      <w:proofErr w:type="spellEnd"/>
      <w:r w:rsidRPr="00C44DB8">
        <w:rPr>
          <w:lang w:val="es-ES_tradnl"/>
        </w:rPr>
        <w:t xml:space="preserve">, con el fin de que se incluya a los diversos tipos de poseedores legítimos de buena fe. </w:t>
      </w:r>
    </w:p>
    <w:p w14:paraId="608B37AE" w14:textId="77777777" w:rsidR="00C44DB8" w:rsidRPr="00C44DB8" w:rsidRDefault="00C44DB8" w:rsidP="00C44DB8">
      <w:pPr>
        <w:pStyle w:val="Normal1"/>
        <w:jc w:val="both"/>
        <w:rPr>
          <w:lang w:val="es-ES_tradnl"/>
        </w:rPr>
      </w:pPr>
    </w:p>
    <w:p w14:paraId="57E40A97" w14:textId="77777777" w:rsidR="00C44DB8" w:rsidRPr="00C44DB8" w:rsidRDefault="00C44DB8" w:rsidP="002C2191">
      <w:pPr>
        <w:pStyle w:val="Normal1"/>
        <w:numPr>
          <w:ilvl w:val="0"/>
          <w:numId w:val="6"/>
        </w:numPr>
        <w:jc w:val="both"/>
        <w:rPr>
          <w:lang w:val="es-ES_tradnl"/>
        </w:rPr>
      </w:pPr>
      <w:r w:rsidRPr="00C44DB8">
        <w:rPr>
          <w:lang w:val="es-ES_tradnl"/>
        </w:rPr>
        <w:t>Es oportuno mencionar que en el reglamento se establece el “término de 90 días” para presentar los justificativos, esto implica que solo se contabilizarán los días hábiles (art. 73 del Código Orgánico General de Procesos).</w:t>
      </w:r>
    </w:p>
    <w:p w14:paraId="627730C6" w14:textId="77777777" w:rsidR="00C44DB8" w:rsidRPr="00C44DB8" w:rsidRDefault="00C44DB8" w:rsidP="00C44DB8">
      <w:pPr>
        <w:pStyle w:val="Normal1"/>
        <w:jc w:val="both"/>
        <w:rPr>
          <w:lang w:val="es-ES_tradnl"/>
        </w:rPr>
      </w:pPr>
    </w:p>
    <w:p w14:paraId="119707AE" w14:textId="77777777" w:rsidR="00C44DB8" w:rsidRPr="00C44DB8" w:rsidRDefault="00C44DB8" w:rsidP="002C2191">
      <w:pPr>
        <w:pStyle w:val="Normal1"/>
        <w:numPr>
          <w:ilvl w:val="0"/>
          <w:numId w:val="6"/>
        </w:numPr>
        <w:jc w:val="both"/>
        <w:rPr>
          <w:lang w:val="es-ES_tradnl"/>
        </w:rPr>
      </w:pPr>
      <w:r w:rsidRPr="00C44DB8">
        <w:rPr>
          <w:lang w:val="es-ES_tradnl"/>
        </w:rPr>
        <w:t xml:space="preserve">Otro aspecto que cabe anotar es que el nuevo reglamento no menciona como requisito “no ser propietario de otros bienes inmuebles”, lo cual sí constaba en el anterior reglamento (art.4 del Acuerdo Ministerial  No.018-16 del 19 de mayo de 2016). Este requisito generaba preocupación dentro del sector humanitario sobre qué tipos de vivienda se interpretaba como otros bienes inmuebles, </w:t>
      </w:r>
      <w:r w:rsidRPr="00C44DB8">
        <w:rPr>
          <w:lang w:val="es-ES_tradnl"/>
        </w:rPr>
        <w:lastRenderedPageBreak/>
        <w:t xml:space="preserve">específicamente si dentro  esa categoría se incluía viviendas emergentes o temporales. </w:t>
      </w:r>
    </w:p>
    <w:p w14:paraId="6A0E5954" w14:textId="77777777" w:rsidR="00C44DB8" w:rsidRPr="00C44DB8" w:rsidRDefault="00C44DB8" w:rsidP="00C44DB8">
      <w:pPr>
        <w:pStyle w:val="Normal1"/>
        <w:jc w:val="both"/>
        <w:rPr>
          <w:lang w:val="es-ES_tradnl"/>
        </w:rPr>
      </w:pPr>
    </w:p>
    <w:p w14:paraId="4385D16B" w14:textId="77777777" w:rsidR="00C44DB8" w:rsidRPr="00C44DB8" w:rsidRDefault="00C44DB8" w:rsidP="00522A4F">
      <w:pPr>
        <w:pStyle w:val="Normal1"/>
        <w:numPr>
          <w:ilvl w:val="0"/>
          <w:numId w:val="6"/>
        </w:numPr>
        <w:jc w:val="both"/>
        <w:rPr>
          <w:lang w:val="es-ES_tradnl"/>
        </w:rPr>
      </w:pPr>
      <w:r w:rsidRPr="00C44DB8">
        <w:rPr>
          <w:lang w:val="es-ES_tradnl"/>
        </w:rPr>
        <w:t>En el nuevo reglamento existen ciertos aspectos que podrían implicar una barrera jurídica para acceder a los beneficios.</w:t>
      </w:r>
    </w:p>
    <w:p w14:paraId="7FBFD0E8" w14:textId="047AE256" w:rsidR="00C44DB8" w:rsidRPr="00C44DB8" w:rsidRDefault="00C44DB8" w:rsidP="00522A4F">
      <w:pPr>
        <w:pStyle w:val="Normal1"/>
        <w:numPr>
          <w:ilvl w:val="0"/>
          <w:numId w:val="8"/>
        </w:numPr>
        <w:jc w:val="both"/>
        <w:rPr>
          <w:lang w:val="es-ES_tradnl"/>
        </w:rPr>
      </w:pPr>
      <w:bookmarkStart w:id="0" w:name="_GoBack"/>
      <w:r w:rsidRPr="00C44DB8">
        <w:rPr>
          <w:lang w:val="es-ES_tradnl"/>
        </w:rPr>
        <w:t>El instrumento denominado “Reparación de vivienda recuperable” se refiere a “la vivienda con daños ubicada en el terreno de propiedad de las familias damnificadas” y “el propietario del bien” (art.2.c). Es decir, no se menciona a las familias que son poseedoras. Grupo que debería ser expresamente incluido para la reparación de vivienda recuperable.</w:t>
      </w:r>
    </w:p>
    <w:p w14:paraId="7CBE48B7" w14:textId="78E43EB7" w:rsidR="00C44DB8" w:rsidRPr="00C44DB8" w:rsidRDefault="00C44DB8" w:rsidP="00522A4F">
      <w:pPr>
        <w:pStyle w:val="Normal1"/>
        <w:numPr>
          <w:ilvl w:val="0"/>
          <w:numId w:val="8"/>
        </w:numPr>
        <w:jc w:val="both"/>
        <w:rPr>
          <w:lang w:val="es-ES_tradnl"/>
        </w:rPr>
      </w:pPr>
      <w:r w:rsidRPr="00C44DB8">
        <w:rPr>
          <w:lang w:val="es-ES_tradnl"/>
        </w:rPr>
        <w:t xml:space="preserve">El reglamento señala que para la aplicación de los instrumentos para la recuperación habitacional “deberán contar con la factibilidad o el compromiso del </w:t>
      </w:r>
      <w:proofErr w:type="spellStart"/>
      <w:r w:rsidRPr="00C44DB8">
        <w:rPr>
          <w:lang w:val="es-ES_tradnl"/>
        </w:rPr>
        <w:t>GAD</w:t>
      </w:r>
      <w:proofErr w:type="spellEnd"/>
      <w:r w:rsidRPr="00C44DB8">
        <w:rPr>
          <w:lang w:val="es-ES_tradnl"/>
        </w:rPr>
        <w:t xml:space="preserve"> o entidad competente de dotación de servicios básicos o sistemas alternativos (agua, saneamiento, electricidad y acceso)” (art.2).  Es positivo que esta disposición busque cumplir con estándares de una vivienda adecuada; sin embargo, el proceso administrativo para cumplir con este requisito podría implicar una barrera y podría tomar mucho tiempo. Esto se complicaría aún más en el sector rural.  Es recomendable, trabajar junto a los </w:t>
      </w:r>
      <w:proofErr w:type="spellStart"/>
      <w:r w:rsidRPr="00C44DB8">
        <w:rPr>
          <w:lang w:val="es-ES_tradnl"/>
        </w:rPr>
        <w:t>GAD</w:t>
      </w:r>
      <w:proofErr w:type="spellEnd"/>
      <w:r w:rsidRPr="00C44DB8">
        <w:rPr>
          <w:lang w:val="es-ES_tradnl"/>
        </w:rPr>
        <w:t xml:space="preserve"> y las entidades competentes para que el cumplimiento de este requisito se ejecute de manera ágil. </w:t>
      </w:r>
    </w:p>
    <w:p w14:paraId="2AF89F2D" w14:textId="6746DF6D" w:rsidR="00C44DB8" w:rsidRPr="00C44DB8" w:rsidRDefault="00C44DB8" w:rsidP="00522A4F">
      <w:pPr>
        <w:pStyle w:val="Normal1"/>
        <w:numPr>
          <w:ilvl w:val="0"/>
          <w:numId w:val="8"/>
        </w:numPr>
        <w:jc w:val="both"/>
        <w:rPr>
          <w:lang w:val="es-ES_tradnl"/>
        </w:rPr>
      </w:pPr>
      <w:r w:rsidRPr="00C44DB8">
        <w:rPr>
          <w:lang w:val="es-ES_tradnl"/>
        </w:rPr>
        <w:t>El reglamento señala que “en los casos a, b y d de los instrumentos para recuperación habitacional establecidos en el artículo 2 del presente instrumento, la escritura de transferencia de dominio a favor del beneficiario será inscrita con la condición de liberación cuando el beneficiario termine de pagar el valor total del copado […]” esta frase genera las siguientes preguntas: i) qué pasará con aquellos bienes que se reconstruyen en terreno propio (b) sobre el cual aún no existe escrituras porque el beneficiario ejerce posesión; y, ii) cómo se cubrirán  los gastos notariales y de asesoría jurídica?</w:t>
      </w:r>
      <w:bookmarkEnd w:id="0"/>
    </w:p>
    <w:p w14:paraId="1EFF3D38" w14:textId="77777777" w:rsidR="00C44DB8" w:rsidRPr="00C44DB8" w:rsidRDefault="00C44DB8" w:rsidP="00C44DB8">
      <w:pPr>
        <w:pStyle w:val="Normal1"/>
        <w:jc w:val="both"/>
        <w:rPr>
          <w:lang w:val="es-ES_tradnl"/>
        </w:rPr>
      </w:pPr>
    </w:p>
    <w:p w14:paraId="596F42B5" w14:textId="40DC45D7" w:rsidR="00CC447F" w:rsidRPr="00D92621" w:rsidRDefault="00C44DB8" w:rsidP="00522A4F">
      <w:pPr>
        <w:pStyle w:val="Normal1"/>
        <w:numPr>
          <w:ilvl w:val="0"/>
          <w:numId w:val="6"/>
        </w:numPr>
        <w:jc w:val="both"/>
        <w:rPr>
          <w:lang w:val="es-ES"/>
        </w:rPr>
      </w:pPr>
      <w:r w:rsidRPr="00C44DB8">
        <w:rPr>
          <w:lang w:val="es-ES_tradnl"/>
        </w:rPr>
        <w:t>Finalmente, cabe señalar que el nuevo reglamento tiene fecha 22 de junio, por lo que se aplica desde esa fecha; sin embargo, aún no ha sido publicado en el registro oficial.</w:t>
      </w:r>
    </w:p>
    <w:sectPr w:rsidR="00CC447F" w:rsidRPr="00D92621">
      <w:footerReference w:type="even" r:id="rId9"/>
      <w:footerReference w:type="default" r:id="rId10"/>
      <w:pgSz w:w="11909" w:h="16834"/>
      <w:pgMar w:top="1440" w:right="1440" w:bottom="1440" w:left="1440" w:header="720" w:footer="720" w:gutter="0"/>
      <w:pgNumType w:start="1"/>
      <w:cols w:space="720" w:equalWidth="0">
        <w:col w:w="8838"/>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1D626" w14:textId="77777777" w:rsidR="002C2191" w:rsidRDefault="002C2191">
      <w:pPr>
        <w:spacing w:line="240" w:lineRule="auto"/>
      </w:pPr>
      <w:r>
        <w:separator/>
      </w:r>
    </w:p>
  </w:endnote>
  <w:endnote w:type="continuationSeparator" w:id="0">
    <w:p w14:paraId="57BA8BF5" w14:textId="77777777" w:rsidR="002C2191" w:rsidRDefault="002C2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78FE7" w14:textId="77777777" w:rsidR="002C2191" w:rsidRDefault="002C2191" w:rsidP="008C09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FBF94B" w14:textId="77777777" w:rsidR="002C2191" w:rsidRDefault="002C2191" w:rsidP="0095440F">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D023F" w14:textId="77777777" w:rsidR="002C2191" w:rsidRDefault="002C2191" w:rsidP="008C09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2A4F">
      <w:rPr>
        <w:rStyle w:val="Nmerodepgina"/>
        <w:noProof/>
      </w:rPr>
      <w:t>1</w:t>
    </w:r>
    <w:r>
      <w:rPr>
        <w:rStyle w:val="Nmerodepgina"/>
      </w:rPr>
      <w:fldChar w:fldCharType="end"/>
    </w:r>
  </w:p>
  <w:p w14:paraId="77AEE0A5" w14:textId="77777777" w:rsidR="002C2191" w:rsidRDefault="002C2191" w:rsidP="0095440F">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7B118" w14:textId="77777777" w:rsidR="002C2191" w:rsidRDefault="002C2191">
      <w:pPr>
        <w:spacing w:line="240" w:lineRule="auto"/>
      </w:pPr>
      <w:r>
        <w:separator/>
      </w:r>
    </w:p>
  </w:footnote>
  <w:footnote w:type="continuationSeparator" w:id="0">
    <w:p w14:paraId="1DB6B54E" w14:textId="77777777" w:rsidR="002C2191" w:rsidRDefault="002C2191">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E6C66"/>
    <w:multiLevelType w:val="hybridMultilevel"/>
    <w:tmpl w:val="933E2EEC"/>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EC1915"/>
    <w:multiLevelType w:val="hybridMultilevel"/>
    <w:tmpl w:val="E5F814D4"/>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4F5149A"/>
    <w:multiLevelType w:val="hybridMultilevel"/>
    <w:tmpl w:val="1EAAE2C8"/>
    <w:lvl w:ilvl="0" w:tplc="9ED018BE">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4C4C347E"/>
    <w:multiLevelType w:val="multilevel"/>
    <w:tmpl w:val="05B419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541B6692"/>
    <w:multiLevelType w:val="hybridMultilevel"/>
    <w:tmpl w:val="528E9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3A86FA9"/>
    <w:multiLevelType w:val="hybridMultilevel"/>
    <w:tmpl w:val="DEC4BD32"/>
    <w:lvl w:ilvl="0" w:tplc="300A0019">
      <w:start w:val="1"/>
      <w:numFmt w:val="lowerLetter"/>
      <w:lvlText w:val="%1."/>
      <w:lvlJc w:val="left"/>
      <w:pPr>
        <w:ind w:left="1083"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94819EA"/>
    <w:multiLevelType w:val="hybridMultilevel"/>
    <w:tmpl w:val="95461376"/>
    <w:lvl w:ilvl="0" w:tplc="9ED018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9E8799D"/>
    <w:multiLevelType w:val="hybridMultilevel"/>
    <w:tmpl w:val="D24C3DBC"/>
    <w:lvl w:ilvl="0" w:tplc="300A000F">
      <w:start w:val="1"/>
      <w:numFmt w:val="decimal"/>
      <w:lvlText w:val="%1."/>
      <w:lvlJc w:val="left"/>
      <w:pPr>
        <w:ind w:left="363" w:hanging="360"/>
      </w:pPr>
      <w:rPr>
        <w:rFonts w:hint="default"/>
      </w:rPr>
    </w:lvl>
    <w:lvl w:ilvl="1" w:tplc="300A0019">
      <w:start w:val="1"/>
      <w:numFmt w:val="lowerLetter"/>
      <w:lvlText w:val="%2."/>
      <w:lvlJc w:val="left"/>
      <w:pPr>
        <w:ind w:left="1083" w:hanging="360"/>
      </w:pPr>
    </w:lvl>
    <w:lvl w:ilvl="2" w:tplc="300A001B" w:tentative="1">
      <w:start w:val="1"/>
      <w:numFmt w:val="lowerRoman"/>
      <w:lvlText w:val="%3."/>
      <w:lvlJc w:val="right"/>
      <w:pPr>
        <w:ind w:left="1803" w:hanging="180"/>
      </w:pPr>
    </w:lvl>
    <w:lvl w:ilvl="3" w:tplc="300A000F" w:tentative="1">
      <w:start w:val="1"/>
      <w:numFmt w:val="decimal"/>
      <w:lvlText w:val="%4."/>
      <w:lvlJc w:val="left"/>
      <w:pPr>
        <w:ind w:left="2523" w:hanging="360"/>
      </w:pPr>
    </w:lvl>
    <w:lvl w:ilvl="4" w:tplc="300A0019" w:tentative="1">
      <w:start w:val="1"/>
      <w:numFmt w:val="lowerLetter"/>
      <w:lvlText w:val="%5."/>
      <w:lvlJc w:val="left"/>
      <w:pPr>
        <w:ind w:left="3243" w:hanging="360"/>
      </w:pPr>
    </w:lvl>
    <w:lvl w:ilvl="5" w:tplc="300A001B" w:tentative="1">
      <w:start w:val="1"/>
      <w:numFmt w:val="lowerRoman"/>
      <w:lvlText w:val="%6."/>
      <w:lvlJc w:val="right"/>
      <w:pPr>
        <w:ind w:left="3963" w:hanging="180"/>
      </w:pPr>
    </w:lvl>
    <w:lvl w:ilvl="6" w:tplc="300A000F" w:tentative="1">
      <w:start w:val="1"/>
      <w:numFmt w:val="decimal"/>
      <w:lvlText w:val="%7."/>
      <w:lvlJc w:val="left"/>
      <w:pPr>
        <w:ind w:left="4683" w:hanging="360"/>
      </w:pPr>
    </w:lvl>
    <w:lvl w:ilvl="7" w:tplc="300A0019" w:tentative="1">
      <w:start w:val="1"/>
      <w:numFmt w:val="lowerLetter"/>
      <w:lvlText w:val="%8."/>
      <w:lvlJc w:val="left"/>
      <w:pPr>
        <w:ind w:left="5403" w:hanging="360"/>
      </w:pPr>
    </w:lvl>
    <w:lvl w:ilvl="8" w:tplc="300A001B" w:tentative="1">
      <w:start w:val="1"/>
      <w:numFmt w:val="lowerRoman"/>
      <w:lvlText w:val="%9."/>
      <w:lvlJc w:val="right"/>
      <w:pPr>
        <w:ind w:left="6123" w:hanging="180"/>
      </w:pPr>
    </w:lvl>
  </w:abstractNum>
  <w:num w:numId="1">
    <w:abstractNumId w:val="3"/>
  </w:num>
  <w:num w:numId="2">
    <w:abstractNumId w:val="7"/>
  </w:num>
  <w:num w:numId="3">
    <w:abstractNumId w:val="5"/>
  </w:num>
  <w:num w:numId="4">
    <w:abstractNumId w:val="0"/>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7F"/>
    <w:rsid w:val="000113E0"/>
    <w:rsid w:val="000352E3"/>
    <w:rsid w:val="000409BF"/>
    <w:rsid w:val="00097B3D"/>
    <w:rsid w:val="000A1BEC"/>
    <w:rsid w:val="0010416A"/>
    <w:rsid w:val="00106F1E"/>
    <w:rsid w:val="001110F5"/>
    <w:rsid w:val="001119FE"/>
    <w:rsid w:val="00125EA8"/>
    <w:rsid w:val="001341FC"/>
    <w:rsid w:val="00152D63"/>
    <w:rsid w:val="00174DE8"/>
    <w:rsid w:val="001861D0"/>
    <w:rsid w:val="001A4B15"/>
    <w:rsid w:val="001C2F24"/>
    <w:rsid w:val="001E0CC8"/>
    <w:rsid w:val="001E3E03"/>
    <w:rsid w:val="001E64FD"/>
    <w:rsid w:val="001F00ED"/>
    <w:rsid w:val="002372D7"/>
    <w:rsid w:val="002513A4"/>
    <w:rsid w:val="002555B8"/>
    <w:rsid w:val="00260F5E"/>
    <w:rsid w:val="0026265D"/>
    <w:rsid w:val="002C2191"/>
    <w:rsid w:val="002E1199"/>
    <w:rsid w:val="002E4B25"/>
    <w:rsid w:val="002E668B"/>
    <w:rsid w:val="002F462C"/>
    <w:rsid w:val="00317821"/>
    <w:rsid w:val="00326CD5"/>
    <w:rsid w:val="003328A8"/>
    <w:rsid w:val="00350BD6"/>
    <w:rsid w:val="00377718"/>
    <w:rsid w:val="00393BE6"/>
    <w:rsid w:val="003A7776"/>
    <w:rsid w:val="003C248D"/>
    <w:rsid w:val="003F3B8C"/>
    <w:rsid w:val="004928D1"/>
    <w:rsid w:val="004D0F4D"/>
    <w:rsid w:val="004F54F5"/>
    <w:rsid w:val="00522A4F"/>
    <w:rsid w:val="0055419B"/>
    <w:rsid w:val="005C613A"/>
    <w:rsid w:val="005D68DC"/>
    <w:rsid w:val="005E339C"/>
    <w:rsid w:val="0063104F"/>
    <w:rsid w:val="00646739"/>
    <w:rsid w:val="006862FD"/>
    <w:rsid w:val="006A37A1"/>
    <w:rsid w:val="006D67E4"/>
    <w:rsid w:val="006F229B"/>
    <w:rsid w:val="00705DB0"/>
    <w:rsid w:val="007151AA"/>
    <w:rsid w:val="00723167"/>
    <w:rsid w:val="00735FE2"/>
    <w:rsid w:val="00740F98"/>
    <w:rsid w:val="00755089"/>
    <w:rsid w:val="00775DA1"/>
    <w:rsid w:val="007812C5"/>
    <w:rsid w:val="007E35D8"/>
    <w:rsid w:val="00817A43"/>
    <w:rsid w:val="008305C9"/>
    <w:rsid w:val="0083087E"/>
    <w:rsid w:val="0083469D"/>
    <w:rsid w:val="00853E08"/>
    <w:rsid w:val="0086385D"/>
    <w:rsid w:val="00876EAF"/>
    <w:rsid w:val="0089623B"/>
    <w:rsid w:val="008C090D"/>
    <w:rsid w:val="008E0A1A"/>
    <w:rsid w:val="0091359A"/>
    <w:rsid w:val="00917A2E"/>
    <w:rsid w:val="00922B90"/>
    <w:rsid w:val="00924378"/>
    <w:rsid w:val="009417DC"/>
    <w:rsid w:val="009428CB"/>
    <w:rsid w:val="00946A57"/>
    <w:rsid w:val="00953981"/>
    <w:rsid w:val="0095440F"/>
    <w:rsid w:val="00960C4B"/>
    <w:rsid w:val="00976CFE"/>
    <w:rsid w:val="00984947"/>
    <w:rsid w:val="009A09A4"/>
    <w:rsid w:val="009B0D08"/>
    <w:rsid w:val="009C2E92"/>
    <w:rsid w:val="009E78F2"/>
    <w:rsid w:val="009F7FC2"/>
    <w:rsid w:val="00A176FF"/>
    <w:rsid w:val="00A63528"/>
    <w:rsid w:val="00AC400C"/>
    <w:rsid w:val="00B15959"/>
    <w:rsid w:val="00B74E1E"/>
    <w:rsid w:val="00BC1857"/>
    <w:rsid w:val="00BD607C"/>
    <w:rsid w:val="00BE1FD8"/>
    <w:rsid w:val="00C05F30"/>
    <w:rsid w:val="00C11155"/>
    <w:rsid w:val="00C15BF6"/>
    <w:rsid w:val="00C17BCD"/>
    <w:rsid w:val="00C3151E"/>
    <w:rsid w:val="00C3589C"/>
    <w:rsid w:val="00C44DB8"/>
    <w:rsid w:val="00C75410"/>
    <w:rsid w:val="00CC447F"/>
    <w:rsid w:val="00CD7F6A"/>
    <w:rsid w:val="00D005E1"/>
    <w:rsid w:val="00D105D0"/>
    <w:rsid w:val="00D3644F"/>
    <w:rsid w:val="00D47CFA"/>
    <w:rsid w:val="00D92621"/>
    <w:rsid w:val="00D9657C"/>
    <w:rsid w:val="00DB1EEE"/>
    <w:rsid w:val="00DB2ECC"/>
    <w:rsid w:val="00DC5BBC"/>
    <w:rsid w:val="00DC6FBB"/>
    <w:rsid w:val="00E10DFE"/>
    <w:rsid w:val="00E421C9"/>
    <w:rsid w:val="00E61210"/>
    <w:rsid w:val="00E6286D"/>
    <w:rsid w:val="00E6796E"/>
    <w:rsid w:val="00E679CD"/>
    <w:rsid w:val="00E773A9"/>
    <w:rsid w:val="00E93B97"/>
    <w:rsid w:val="00E94FEA"/>
    <w:rsid w:val="00EA2BA1"/>
    <w:rsid w:val="00EC1520"/>
    <w:rsid w:val="00EC33FA"/>
    <w:rsid w:val="00EC39EA"/>
    <w:rsid w:val="00ED78EB"/>
    <w:rsid w:val="00EE5F00"/>
    <w:rsid w:val="00EF0FB1"/>
    <w:rsid w:val="00EF1220"/>
    <w:rsid w:val="00F150EC"/>
    <w:rsid w:val="00F4691F"/>
    <w:rsid w:val="00F515E5"/>
    <w:rsid w:val="00F52B0A"/>
    <w:rsid w:val="00F64EC7"/>
    <w:rsid w:val="00F92080"/>
    <w:rsid w:val="00F96F4C"/>
    <w:rsid w:val="00FA34B9"/>
    <w:rsid w:val="00FD2C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48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00" w:after="120"/>
      <w:contextualSpacing/>
      <w:outlineLvl w:val="0"/>
    </w:pPr>
    <w:rPr>
      <w:sz w:val="40"/>
      <w:szCs w:val="40"/>
    </w:rPr>
  </w:style>
  <w:style w:type="paragraph" w:styleId="Ttulo2">
    <w:name w:val="heading 2"/>
    <w:basedOn w:val="Normal1"/>
    <w:next w:val="Normal1"/>
    <w:pPr>
      <w:keepNext/>
      <w:keepLines/>
      <w:spacing w:before="360" w:after="120"/>
      <w:contextualSpacing/>
      <w:outlineLvl w:val="1"/>
    </w:pPr>
    <w:rPr>
      <w:sz w:val="32"/>
      <w:szCs w:val="32"/>
    </w:rPr>
  </w:style>
  <w:style w:type="paragraph" w:styleId="Ttulo3">
    <w:name w:val="heading 3"/>
    <w:basedOn w:val="Normal1"/>
    <w:next w:val="Normal1"/>
    <w:pPr>
      <w:keepNext/>
      <w:keepLines/>
      <w:spacing w:before="320" w:after="80"/>
      <w:contextualSpacing/>
      <w:outlineLvl w:val="2"/>
    </w:pPr>
    <w:rPr>
      <w:color w:val="434343"/>
      <w:sz w:val="28"/>
      <w:szCs w:val="28"/>
    </w:rPr>
  </w:style>
  <w:style w:type="paragraph" w:styleId="Ttulo4">
    <w:name w:val="heading 4"/>
    <w:basedOn w:val="Normal1"/>
    <w:next w:val="Normal1"/>
    <w:pPr>
      <w:keepNext/>
      <w:keepLines/>
      <w:spacing w:before="280" w:after="80"/>
      <w:contextualSpacing/>
      <w:outlineLvl w:val="3"/>
    </w:pPr>
    <w:rPr>
      <w:color w:val="666666"/>
      <w:sz w:val="24"/>
      <w:szCs w:val="24"/>
    </w:rPr>
  </w:style>
  <w:style w:type="paragraph" w:styleId="Ttulo5">
    <w:name w:val="heading 5"/>
    <w:basedOn w:val="Normal1"/>
    <w:next w:val="Normal1"/>
    <w:pPr>
      <w:keepNext/>
      <w:keepLines/>
      <w:spacing w:before="240" w:after="80"/>
      <w:contextualSpacing/>
      <w:outlineLvl w:val="4"/>
    </w:pPr>
    <w:rPr>
      <w:color w:val="666666"/>
    </w:rPr>
  </w:style>
  <w:style w:type="paragraph" w:styleId="Ttulo6">
    <w:name w:val="heading 6"/>
    <w:basedOn w:val="Normal1"/>
    <w:next w:val="Normal1"/>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tulo">
    <w:name w:val="Title"/>
    <w:basedOn w:val="Normal1"/>
    <w:next w:val="Normal1"/>
    <w:pPr>
      <w:keepNext/>
      <w:keepLines/>
      <w:spacing w:after="60"/>
      <w:contextualSpacing/>
    </w:pPr>
    <w:rPr>
      <w:sz w:val="52"/>
      <w:szCs w:val="52"/>
    </w:rPr>
  </w:style>
  <w:style w:type="paragraph" w:styleId="Subttulo">
    <w:name w:val="Subtitle"/>
    <w:basedOn w:val="Normal1"/>
    <w:next w:val="Normal1"/>
    <w:pPr>
      <w:keepNext/>
      <w:keepLines/>
      <w:spacing w:after="320"/>
      <w:contextualSpacing/>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4"/>
      <w:szCs w:val="24"/>
    </w:rPr>
  </w:style>
  <w:style w:type="character" w:customStyle="1" w:styleId="TextocomentarioCar">
    <w:name w:val="Texto comentario Car"/>
    <w:basedOn w:val="Fuentedeprrafopredeter"/>
    <w:link w:val="Textocomentario"/>
    <w:uiPriority w:val="99"/>
    <w:semiHidden/>
    <w:rPr>
      <w:sz w:val="24"/>
      <w:szCs w:val="24"/>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F4691F"/>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4691F"/>
    <w:rPr>
      <w:rFonts w:ascii="Lucida Grande" w:hAnsi="Lucida Grande" w:cs="Lucida Grande"/>
      <w:sz w:val="18"/>
      <w:szCs w:val="18"/>
    </w:rPr>
  </w:style>
  <w:style w:type="paragraph" w:styleId="Textonotapie">
    <w:name w:val="footnote text"/>
    <w:basedOn w:val="Normal"/>
    <w:link w:val="TextonotapieCar"/>
    <w:uiPriority w:val="99"/>
    <w:unhideWhenUsed/>
    <w:rsid w:val="006A37A1"/>
    <w:pPr>
      <w:spacing w:line="240" w:lineRule="auto"/>
    </w:pPr>
    <w:rPr>
      <w:sz w:val="24"/>
      <w:szCs w:val="24"/>
    </w:rPr>
  </w:style>
  <w:style w:type="character" w:customStyle="1" w:styleId="TextonotapieCar">
    <w:name w:val="Texto nota pie Car"/>
    <w:basedOn w:val="Fuentedeprrafopredeter"/>
    <w:link w:val="Textonotapie"/>
    <w:uiPriority w:val="99"/>
    <w:rsid w:val="006A37A1"/>
    <w:rPr>
      <w:sz w:val="24"/>
      <w:szCs w:val="24"/>
    </w:rPr>
  </w:style>
  <w:style w:type="character" w:styleId="Refdenotaalpie">
    <w:name w:val="footnote reference"/>
    <w:basedOn w:val="Fuentedeprrafopredeter"/>
    <w:uiPriority w:val="99"/>
    <w:unhideWhenUsed/>
    <w:rsid w:val="006A37A1"/>
    <w:rPr>
      <w:vertAlign w:val="superscript"/>
    </w:rPr>
  </w:style>
  <w:style w:type="paragraph" w:styleId="Piedepgina">
    <w:name w:val="footer"/>
    <w:basedOn w:val="Normal"/>
    <w:link w:val="PiedepginaCar"/>
    <w:uiPriority w:val="99"/>
    <w:unhideWhenUsed/>
    <w:rsid w:val="0095440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5440F"/>
  </w:style>
  <w:style w:type="character" w:styleId="Nmerodepgina">
    <w:name w:val="page number"/>
    <w:basedOn w:val="Fuentedeprrafopredeter"/>
    <w:uiPriority w:val="99"/>
    <w:semiHidden/>
    <w:unhideWhenUsed/>
    <w:rsid w:val="0095440F"/>
  </w:style>
  <w:style w:type="paragraph" w:styleId="Asuntodelcomentario">
    <w:name w:val="annotation subject"/>
    <w:basedOn w:val="Textocomentario"/>
    <w:next w:val="Textocomentario"/>
    <w:link w:val="AsuntodelcomentarioCar"/>
    <w:uiPriority w:val="99"/>
    <w:semiHidden/>
    <w:unhideWhenUsed/>
    <w:rsid w:val="00D005E1"/>
    <w:rPr>
      <w:b/>
      <w:bCs/>
      <w:sz w:val="20"/>
      <w:szCs w:val="20"/>
    </w:rPr>
  </w:style>
  <w:style w:type="character" w:customStyle="1" w:styleId="AsuntodelcomentarioCar">
    <w:name w:val="Asunto del comentario Car"/>
    <w:basedOn w:val="TextocomentarioCar"/>
    <w:link w:val="Asuntodelcomentario"/>
    <w:uiPriority w:val="99"/>
    <w:semiHidden/>
    <w:rsid w:val="00D005E1"/>
    <w:rPr>
      <w:b/>
      <w:bCs/>
      <w:sz w:val="20"/>
      <w:szCs w:val="20"/>
    </w:rPr>
  </w:style>
  <w:style w:type="paragraph" w:styleId="Revisin">
    <w:name w:val="Revision"/>
    <w:hidden/>
    <w:uiPriority w:val="99"/>
    <w:semiHidden/>
    <w:rsid w:val="00C15BF6"/>
    <w:pPr>
      <w:spacing w:line="240" w:lineRule="auto"/>
    </w:pPr>
  </w:style>
  <w:style w:type="paragraph" w:styleId="Prrafodelista">
    <w:name w:val="List Paragraph"/>
    <w:basedOn w:val="Normal"/>
    <w:uiPriority w:val="34"/>
    <w:qFormat/>
    <w:rsid w:val="00A63528"/>
    <w:pPr>
      <w:spacing w:after="200"/>
      <w:ind w:left="720"/>
      <w:contextualSpacing/>
    </w:pPr>
    <w:rPr>
      <w:rFonts w:ascii="Calibri" w:eastAsia="Calibri" w:hAnsi="Calibri" w:cs="Times New Roman"/>
      <w:color w:val="auto"/>
      <w:lang w:val="fr-FR" w:eastAsia="en-US"/>
    </w:rPr>
  </w:style>
  <w:style w:type="character" w:styleId="Hipervnculo">
    <w:name w:val="Hyperlink"/>
    <w:basedOn w:val="Fuentedeprrafopredeter"/>
    <w:uiPriority w:val="99"/>
    <w:unhideWhenUsed/>
    <w:rsid w:val="00775DA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00" w:after="120"/>
      <w:contextualSpacing/>
      <w:outlineLvl w:val="0"/>
    </w:pPr>
    <w:rPr>
      <w:sz w:val="40"/>
      <w:szCs w:val="40"/>
    </w:rPr>
  </w:style>
  <w:style w:type="paragraph" w:styleId="Ttulo2">
    <w:name w:val="heading 2"/>
    <w:basedOn w:val="Normal1"/>
    <w:next w:val="Normal1"/>
    <w:pPr>
      <w:keepNext/>
      <w:keepLines/>
      <w:spacing w:before="360" w:after="120"/>
      <w:contextualSpacing/>
      <w:outlineLvl w:val="1"/>
    </w:pPr>
    <w:rPr>
      <w:sz w:val="32"/>
      <w:szCs w:val="32"/>
    </w:rPr>
  </w:style>
  <w:style w:type="paragraph" w:styleId="Ttulo3">
    <w:name w:val="heading 3"/>
    <w:basedOn w:val="Normal1"/>
    <w:next w:val="Normal1"/>
    <w:pPr>
      <w:keepNext/>
      <w:keepLines/>
      <w:spacing w:before="320" w:after="80"/>
      <w:contextualSpacing/>
      <w:outlineLvl w:val="2"/>
    </w:pPr>
    <w:rPr>
      <w:color w:val="434343"/>
      <w:sz w:val="28"/>
      <w:szCs w:val="28"/>
    </w:rPr>
  </w:style>
  <w:style w:type="paragraph" w:styleId="Ttulo4">
    <w:name w:val="heading 4"/>
    <w:basedOn w:val="Normal1"/>
    <w:next w:val="Normal1"/>
    <w:pPr>
      <w:keepNext/>
      <w:keepLines/>
      <w:spacing w:before="280" w:after="80"/>
      <w:contextualSpacing/>
      <w:outlineLvl w:val="3"/>
    </w:pPr>
    <w:rPr>
      <w:color w:val="666666"/>
      <w:sz w:val="24"/>
      <w:szCs w:val="24"/>
    </w:rPr>
  </w:style>
  <w:style w:type="paragraph" w:styleId="Ttulo5">
    <w:name w:val="heading 5"/>
    <w:basedOn w:val="Normal1"/>
    <w:next w:val="Normal1"/>
    <w:pPr>
      <w:keepNext/>
      <w:keepLines/>
      <w:spacing w:before="240" w:after="80"/>
      <w:contextualSpacing/>
      <w:outlineLvl w:val="4"/>
    </w:pPr>
    <w:rPr>
      <w:color w:val="666666"/>
    </w:rPr>
  </w:style>
  <w:style w:type="paragraph" w:styleId="Ttulo6">
    <w:name w:val="heading 6"/>
    <w:basedOn w:val="Normal1"/>
    <w:next w:val="Normal1"/>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tulo">
    <w:name w:val="Title"/>
    <w:basedOn w:val="Normal1"/>
    <w:next w:val="Normal1"/>
    <w:pPr>
      <w:keepNext/>
      <w:keepLines/>
      <w:spacing w:after="60"/>
      <w:contextualSpacing/>
    </w:pPr>
    <w:rPr>
      <w:sz w:val="52"/>
      <w:szCs w:val="52"/>
    </w:rPr>
  </w:style>
  <w:style w:type="paragraph" w:styleId="Subttulo">
    <w:name w:val="Subtitle"/>
    <w:basedOn w:val="Normal1"/>
    <w:next w:val="Normal1"/>
    <w:pPr>
      <w:keepNext/>
      <w:keepLines/>
      <w:spacing w:after="320"/>
      <w:contextualSpacing/>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4"/>
      <w:szCs w:val="24"/>
    </w:rPr>
  </w:style>
  <w:style w:type="character" w:customStyle="1" w:styleId="TextocomentarioCar">
    <w:name w:val="Texto comentario Car"/>
    <w:basedOn w:val="Fuentedeprrafopredeter"/>
    <w:link w:val="Textocomentario"/>
    <w:uiPriority w:val="99"/>
    <w:semiHidden/>
    <w:rPr>
      <w:sz w:val="24"/>
      <w:szCs w:val="24"/>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F4691F"/>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4691F"/>
    <w:rPr>
      <w:rFonts w:ascii="Lucida Grande" w:hAnsi="Lucida Grande" w:cs="Lucida Grande"/>
      <w:sz w:val="18"/>
      <w:szCs w:val="18"/>
    </w:rPr>
  </w:style>
  <w:style w:type="paragraph" w:styleId="Textonotapie">
    <w:name w:val="footnote text"/>
    <w:basedOn w:val="Normal"/>
    <w:link w:val="TextonotapieCar"/>
    <w:uiPriority w:val="99"/>
    <w:unhideWhenUsed/>
    <w:rsid w:val="006A37A1"/>
    <w:pPr>
      <w:spacing w:line="240" w:lineRule="auto"/>
    </w:pPr>
    <w:rPr>
      <w:sz w:val="24"/>
      <w:szCs w:val="24"/>
    </w:rPr>
  </w:style>
  <w:style w:type="character" w:customStyle="1" w:styleId="TextonotapieCar">
    <w:name w:val="Texto nota pie Car"/>
    <w:basedOn w:val="Fuentedeprrafopredeter"/>
    <w:link w:val="Textonotapie"/>
    <w:uiPriority w:val="99"/>
    <w:rsid w:val="006A37A1"/>
    <w:rPr>
      <w:sz w:val="24"/>
      <w:szCs w:val="24"/>
    </w:rPr>
  </w:style>
  <w:style w:type="character" w:styleId="Refdenotaalpie">
    <w:name w:val="footnote reference"/>
    <w:basedOn w:val="Fuentedeprrafopredeter"/>
    <w:uiPriority w:val="99"/>
    <w:unhideWhenUsed/>
    <w:rsid w:val="006A37A1"/>
    <w:rPr>
      <w:vertAlign w:val="superscript"/>
    </w:rPr>
  </w:style>
  <w:style w:type="paragraph" w:styleId="Piedepgina">
    <w:name w:val="footer"/>
    <w:basedOn w:val="Normal"/>
    <w:link w:val="PiedepginaCar"/>
    <w:uiPriority w:val="99"/>
    <w:unhideWhenUsed/>
    <w:rsid w:val="0095440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5440F"/>
  </w:style>
  <w:style w:type="character" w:styleId="Nmerodepgina">
    <w:name w:val="page number"/>
    <w:basedOn w:val="Fuentedeprrafopredeter"/>
    <w:uiPriority w:val="99"/>
    <w:semiHidden/>
    <w:unhideWhenUsed/>
    <w:rsid w:val="0095440F"/>
  </w:style>
  <w:style w:type="paragraph" w:styleId="Asuntodelcomentario">
    <w:name w:val="annotation subject"/>
    <w:basedOn w:val="Textocomentario"/>
    <w:next w:val="Textocomentario"/>
    <w:link w:val="AsuntodelcomentarioCar"/>
    <w:uiPriority w:val="99"/>
    <w:semiHidden/>
    <w:unhideWhenUsed/>
    <w:rsid w:val="00D005E1"/>
    <w:rPr>
      <w:b/>
      <w:bCs/>
      <w:sz w:val="20"/>
      <w:szCs w:val="20"/>
    </w:rPr>
  </w:style>
  <w:style w:type="character" w:customStyle="1" w:styleId="AsuntodelcomentarioCar">
    <w:name w:val="Asunto del comentario Car"/>
    <w:basedOn w:val="TextocomentarioCar"/>
    <w:link w:val="Asuntodelcomentario"/>
    <w:uiPriority w:val="99"/>
    <w:semiHidden/>
    <w:rsid w:val="00D005E1"/>
    <w:rPr>
      <w:b/>
      <w:bCs/>
      <w:sz w:val="20"/>
      <w:szCs w:val="20"/>
    </w:rPr>
  </w:style>
  <w:style w:type="paragraph" w:styleId="Revisin">
    <w:name w:val="Revision"/>
    <w:hidden/>
    <w:uiPriority w:val="99"/>
    <w:semiHidden/>
    <w:rsid w:val="00C15BF6"/>
    <w:pPr>
      <w:spacing w:line="240" w:lineRule="auto"/>
    </w:pPr>
  </w:style>
  <w:style w:type="paragraph" w:styleId="Prrafodelista">
    <w:name w:val="List Paragraph"/>
    <w:basedOn w:val="Normal"/>
    <w:uiPriority w:val="34"/>
    <w:qFormat/>
    <w:rsid w:val="00A63528"/>
    <w:pPr>
      <w:spacing w:after="200"/>
      <w:ind w:left="720"/>
      <w:contextualSpacing/>
    </w:pPr>
    <w:rPr>
      <w:rFonts w:ascii="Calibri" w:eastAsia="Calibri" w:hAnsi="Calibri" w:cs="Times New Roman"/>
      <w:color w:val="auto"/>
      <w:lang w:val="fr-FR" w:eastAsia="en-US"/>
    </w:rPr>
  </w:style>
  <w:style w:type="character" w:styleId="Hipervnculo">
    <w:name w:val="Hyperlink"/>
    <w:basedOn w:val="Fuentedeprrafopredeter"/>
    <w:uiPriority w:val="99"/>
    <w:unhideWhenUsed/>
    <w:rsid w:val="00775D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5EFC33-8EBD-9E48-A7B0-07ABFCC2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4236</Characters>
  <Application>Microsoft Macintosh Word</Application>
  <DocSecurity>0</DocSecurity>
  <Lines>67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lima2013</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Principios y Valores</dc:creator>
  <cp:lastModifiedBy>Hugo Cahueñas Muñoz</cp:lastModifiedBy>
  <cp:revision>3</cp:revision>
  <dcterms:created xsi:type="dcterms:W3CDTF">2016-07-18T12:06:00Z</dcterms:created>
  <dcterms:modified xsi:type="dcterms:W3CDTF">2016-07-18T12:07:00Z</dcterms:modified>
</cp:coreProperties>
</file>