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4C" w:rsidRDefault="00FD254C" w:rsidP="00291D54">
      <w:pPr>
        <w:widowControl w:val="0"/>
        <w:autoSpaceDE w:val="0"/>
        <w:autoSpaceDN w:val="0"/>
        <w:adjustRightInd w:val="0"/>
        <w:spacing w:after="240"/>
        <w:contextualSpacing/>
        <w:jc w:val="center"/>
        <w:rPr>
          <w:rFonts w:cstheme="minorHAnsi"/>
          <w:b/>
          <w:sz w:val="22"/>
          <w:szCs w:val="22"/>
        </w:rPr>
      </w:pPr>
    </w:p>
    <w:p w:rsidR="00354A8B" w:rsidRDefault="00354A8B" w:rsidP="00291D54">
      <w:pPr>
        <w:widowControl w:val="0"/>
        <w:autoSpaceDE w:val="0"/>
        <w:autoSpaceDN w:val="0"/>
        <w:adjustRightInd w:val="0"/>
        <w:spacing w:after="240"/>
        <w:contextualSpacing/>
        <w:jc w:val="center"/>
        <w:rPr>
          <w:rFonts w:cstheme="minorHAnsi"/>
          <w:b/>
          <w:sz w:val="22"/>
          <w:szCs w:val="22"/>
        </w:rPr>
      </w:pPr>
      <w:r w:rsidRPr="00354A8B">
        <w:rPr>
          <w:rFonts w:cstheme="minorHAnsi"/>
          <w:b/>
          <w:sz w:val="22"/>
          <w:szCs w:val="22"/>
        </w:rPr>
        <w:t>KEY H</w:t>
      </w:r>
      <w:r w:rsidR="00B86496">
        <w:rPr>
          <w:rFonts w:cstheme="minorHAnsi"/>
          <w:b/>
          <w:sz w:val="22"/>
          <w:szCs w:val="22"/>
        </w:rPr>
        <w:t>OUSING, LAND AND PROPERTY (HLP)</w:t>
      </w:r>
      <w:r w:rsidRPr="00354A8B">
        <w:rPr>
          <w:rFonts w:cstheme="minorHAnsi"/>
          <w:b/>
          <w:sz w:val="22"/>
          <w:szCs w:val="22"/>
        </w:rPr>
        <w:t xml:space="preserve"> PRINCIPLE</w:t>
      </w:r>
      <w:r w:rsidR="00291D54">
        <w:rPr>
          <w:rFonts w:cstheme="minorHAnsi"/>
          <w:b/>
          <w:sz w:val="22"/>
          <w:szCs w:val="22"/>
        </w:rPr>
        <w:t>S FOR SHELTER PARTNERS</w:t>
      </w:r>
    </w:p>
    <w:p w:rsidR="00FD254C" w:rsidRPr="00354A8B" w:rsidRDefault="00FD254C" w:rsidP="00354A8B">
      <w:pPr>
        <w:widowControl w:val="0"/>
        <w:autoSpaceDE w:val="0"/>
        <w:autoSpaceDN w:val="0"/>
        <w:adjustRightInd w:val="0"/>
        <w:spacing w:after="240"/>
        <w:contextualSpacing/>
        <w:jc w:val="both"/>
        <w:rPr>
          <w:rFonts w:cstheme="minorHAnsi"/>
          <w:b/>
          <w:sz w:val="22"/>
          <w:szCs w:val="22"/>
        </w:rPr>
      </w:pPr>
    </w:p>
    <w:p w:rsidR="00354A8B" w:rsidRPr="00354A8B" w:rsidRDefault="00354A8B" w:rsidP="00354A8B">
      <w:pPr>
        <w:contextualSpacing/>
        <w:jc w:val="both"/>
        <w:rPr>
          <w:rFonts w:cstheme="minorHAnsi"/>
          <w:sz w:val="22"/>
          <w:szCs w:val="22"/>
        </w:rPr>
      </w:pPr>
      <w:r w:rsidRPr="00354A8B">
        <w:rPr>
          <w:rFonts w:cstheme="minorHAnsi"/>
          <w:sz w:val="22"/>
          <w:szCs w:val="22"/>
        </w:rPr>
        <w:t xml:space="preserve">HLP rights must be integrated as a key component of any humanitarian response to disasters. Humanitarian actors should not promote, actively participate in, or in any other manner contribute to, or endorse policies or activities, which do or can lead to HLP rights violations by States. Humanitarian actors should also advocate for the promotion and protection of HLP rights to the fullest extent. </w:t>
      </w:r>
    </w:p>
    <w:p w:rsidR="00354A8B" w:rsidRPr="00354A8B" w:rsidRDefault="00354A8B" w:rsidP="00354A8B">
      <w:pPr>
        <w:contextualSpacing/>
        <w:jc w:val="both"/>
        <w:rPr>
          <w:rFonts w:cstheme="minorHAnsi"/>
          <w:sz w:val="22"/>
          <w:szCs w:val="22"/>
        </w:rPr>
      </w:pPr>
    </w:p>
    <w:p w:rsidR="00354A8B" w:rsidRPr="00354A8B" w:rsidRDefault="00354A8B" w:rsidP="00354A8B">
      <w:pPr>
        <w:widowControl w:val="0"/>
        <w:autoSpaceDE w:val="0"/>
        <w:autoSpaceDN w:val="0"/>
        <w:adjustRightInd w:val="0"/>
        <w:spacing w:after="240"/>
        <w:contextualSpacing/>
        <w:jc w:val="both"/>
        <w:rPr>
          <w:rFonts w:cstheme="minorHAnsi"/>
          <w:b/>
          <w:sz w:val="22"/>
          <w:szCs w:val="22"/>
        </w:rPr>
      </w:pPr>
      <w:r w:rsidRPr="00354A8B">
        <w:rPr>
          <w:rFonts w:cstheme="minorHAnsi"/>
          <w:b/>
          <w:sz w:val="22"/>
          <w:szCs w:val="22"/>
        </w:rPr>
        <w:t>1. Everyone has the right to an adequate standard of housing</w:t>
      </w:r>
      <w:r w:rsidRPr="00354A8B">
        <w:rPr>
          <w:rFonts w:ascii="MS Gothic" w:eastAsia="MS Gothic" w:hAnsi="MS Gothic" w:cs="MS Gothic" w:hint="eastAsia"/>
          <w:b/>
          <w:sz w:val="22"/>
          <w:szCs w:val="22"/>
        </w:rPr>
        <w:t> </w:t>
      </w:r>
    </w:p>
    <w:p w:rsidR="00354A8B" w:rsidRPr="00354A8B" w:rsidRDefault="00354A8B" w:rsidP="00354A8B">
      <w:pPr>
        <w:widowControl w:val="0"/>
        <w:autoSpaceDE w:val="0"/>
        <w:autoSpaceDN w:val="0"/>
        <w:adjustRightInd w:val="0"/>
        <w:spacing w:after="240"/>
        <w:contextualSpacing/>
        <w:jc w:val="both"/>
        <w:rPr>
          <w:rFonts w:cstheme="minorHAnsi"/>
          <w:b/>
          <w:sz w:val="22"/>
          <w:szCs w:val="22"/>
        </w:rPr>
      </w:pPr>
    </w:p>
    <w:p w:rsidR="00354A8B" w:rsidRPr="00354A8B" w:rsidRDefault="00354A8B" w:rsidP="00354A8B">
      <w:pPr>
        <w:widowControl w:val="0"/>
        <w:tabs>
          <w:tab w:val="left" w:pos="220"/>
          <w:tab w:val="left" w:pos="720"/>
        </w:tabs>
        <w:autoSpaceDE w:val="0"/>
        <w:autoSpaceDN w:val="0"/>
        <w:adjustRightInd w:val="0"/>
        <w:spacing w:after="260"/>
        <w:contextualSpacing/>
        <w:jc w:val="both"/>
        <w:rPr>
          <w:rFonts w:cstheme="minorHAnsi"/>
          <w:sz w:val="22"/>
          <w:szCs w:val="22"/>
        </w:rPr>
      </w:pPr>
      <w:r w:rsidRPr="00354A8B">
        <w:rPr>
          <w:rFonts w:cstheme="minorHAnsi"/>
          <w:sz w:val="22"/>
          <w:szCs w:val="22"/>
        </w:rPr>
        <w:t>In all phases of disaster response the right to adequate housing should be respected and protected. The right to adequate housing is much more than a shelter commodity, it is the right to live somewhere in security, peace and dignity and in conditions deemed adequate on grounds of security of tenure; affordability; availability of services, materials, facilities and infrastructure; habitability; accessibility and location.</w:t>
      </w:r>
    </w:p>
    <w:p w:rsidR="00354A8B" w:rsidRPr="00354A8B" w:rsidRDefault="00354A8B" w:rsidP="00354A8B">
      <w:pPr>
        <w:widowControl w:val="0"/>
        <w:tabs>
          <w:tab w:val="left" w:pos="220"/>
          <w:tab w:val="left" w:pos="720"/>
        </w:tabs>
        <w:autoSpaceDE w:val="0"/>
        <w:autoSpaceDN w:val="0"/>
        <w:adjustRightInd w:val="0"/>
        <w:spacing w:after="260"/>
        <w:contextualSpacing/>
        <w:jc w:val="both"/>
        <w:rPr>
          <w:rFonts w:cstheme="minorHAnsi"/>
          <w:sz w:val="22"/>
          <w:szCs w:val="22"/>
        </w:rPr>
      </w:pPr>
    </w:p>
    <w:p w:rsidR="00354A8B" w:rsidRPr="00354A8B" w:rsidRDefault="00B134FE" w:rsidP="00354A8B">
      <w:pPr>
        <w:widowControl w:val="0"/>
        <w:tabs>
          <w:tab w:val="left" w:pos="220"/>
          <w:tab w:val="left" w:pos="720"/>
        </w:tabs>
        <w:autoSpaceDE w:val="0"/>
        <w:autoSpaceDN w:val="0"/>
        <w:adjustRightInd w:val="0"/>
        <w:spacing w:after="260"/>
        <w:contextualSpacing/>
        <w:jc w:val="both"/>
        <w:rPr>
          <w:rFonts w:cstheme="minorHAnsi"/>
          <w:b/>
          <w:sz w:val="22"/>
          <w:szCs w:val="22"/>
        </w:rPr>
      </w:pPr>
      <w:r>
        <w:rPr>
          <w:rFonts w:cstheme="minorHAnsi"/>
          <w:b/>
          <w:sz w:val="22"/>
          <w:szCs w:val="22"/>
        </w:rPr>
        <w:t>2</w:t>
      </w:r>
      <w:r w:rsidR="00354A8B" w:rsidRPr="00354A8B">
        <w:rPr>
          <w:rFonts w:cstheme="minorHAnsi"/>
          <w:b/>
          <w:sz w:val="22"/>
          <w:szCs w:val="22"/>
        </w:rPr>
        <w:t>. The shelter response should be free from discrimination and should ensure the rights of the most vulnerable</w:t>
      </w:r>
    </w:p>
    <w:p w:rsidR="00354A8B" w:rsidRPr="00354A8B" w:rsidRDefault="00354A8B" w:rsidP="00354A8B">
      <w:pPr>
        <w:widowControl w:val="0"/>
        <w:tabs>
          <w:tab w:val="left" w:pos="220"/>
          <w:tab w:val="left" w:pos="720"/>
        </w:tabs>
        <w:autoSpaceDE w:val="0"/>
        <w:autoSpaceDN w:val="0"/>
        <w:adjustRightInd w:val="0"/>
        <w:spacing w:after="260"/>
        <w:contextualSpacing/>
        <w:jc w:val="both"/>
        <w:rPr>
          <w:rFonts w:cstheme="minorHAnsi"/>
          <w:sz w:val="22"/>
          <w:szCs w:val="22"/>
        </w:rPr>
      </w:pPr>
    </w:p>
    <w:p w:rsidR="00354A8B" w:rsidRDefault="00354A8B" w:rsidP="00410D78">
      <w:pPr>
        <w:jc w:val="both"/>
        <w:rPr>
          <w:rFonts w:cstheme="minorHAnsi"/>
          <w:sz w:val="22"/>
          <w:szCs w:val="22"/>
        </w:rPr>
      </w:pPr>
      <w:r w:rsidRPr="00354A8B">
        <w:rPr>
          <w:rFonts w:cstheme="minorHAnsi"/>
          <w:sz w:val="22"/>
          <w:szCs w:val="22"/>
        </w:rPr>
        <w:t xml:space="preserve">The shelter response should be free from discrimination of any kind. </w:t>
      </w:r>
      <w:r w:rsidR="00B134FE">
        <w:rPr>
          <w:rFonts w:cstheme="minorHAnsi"/>
          <w:sz w:val="22"/>
          <w:szCs w:val="22"/>
        </w:rPr>
        <w:t xml:space="preserve">This includes the need to eliminate the common bias in </w:t>
      </w:r>
      <w:proofErr w:type="spellStart"/>
      <w:r w:rsidR="00B134FE">
        <w:rPr>
          <w:rFonts w:cstheme="minorHAnsi"/>
          <w:sz w:val="22"/>
          <w:szCs w:val="22"/>
        </w:rPr>
        <w:t>favour</w:t>
      </w:r>
      <w:proofErr w:type="spellEnd"/>
      <w:r w:rsidR="00B134FE">
        <w:rPr>
          <w:rFonts w:cstheme="minorHAnsi"/>
          <w:sz w:val="22"/>
          <w:szCs w:val="22"/>
        </w:rPr>
        <w:t xml:space="preserve"> of persons holding formal property title (i.e. registered ownership) over other forms of tenure/occupation (leasehold, rental, </w:t>
      </w:r>
      <w:r w:rsidR="00410D78">
        <w:rPr>
          <w:rFonts w:cstheme="minorHAnsi"/>
          <w:sz w:val="22"/>
          <w:szCs w:val="22"/>
        </w:rPr>
        <w:t>customary</w:t>
      </w:r>
      <w:r w:rsidR="00B134FE">
        <w:rPr>
          <w:rFonts w:cstheme="minorHAnsi"/>
          <w:sz w:val="22"/>
          <w:szCs w:val="22"/>
        </w:rPr>
        <w:t xml:space="preserve"> etc.).</w:t>
      </w:r>
    </w:p>
    <w:p w:rsidR="00B134FE" w:rsidRPr="00354A8B" w:rsidRDefault="00B134FE" w:rsidP="00B134FE">
      <w:pPr>
        <w:jc w:val="both"/>
        <w:rPr>
          <w:rFonts w:cstheme="minorHAnsi"/>
          <w:sz w:val="22"/>
          <w:szCs w:val="22"/>
        </w:rPr>
      </w:pPr>
    </w:p>
    <w:p w:rsidR="00B134FE" w:rsidRDefault="00354A8B" w:rsidP="00B134FE">
      <w:pPr>
        <w:contextualSpacing/>
        <w:jc w:val="both"/>
        <w:rPr>
          <w:rFonts w:cstheme="minorHAnsi"/>
          <w:sz w:val="22"/>
          <w:szCs w:val="22"/>
          <w:lang w:val="en-GB"/>
        </w:rPr>
      </w:pPr>
      <w:r w:rsidRPr="00354A8B">
        <w:rPr>
          <w:rFonts w:cstheme="minorHAnsi"/>
          <w:sz w:val="22"/>
          <w:szCs w:val="22"/>
        </w:rPr>
        <w:t>Further</w:t>
      </w:r>
      <w:r w:rsidR="00410D78">
        <w:rPr>
          <w:rFonts w:cstheme="minorHAnsi"/>
          <w:sz w:val="22"/>
          <w:szCs w:val="22"/>
        </w:rPr>
        <w:t>more</w:t>
      </w:r>
      <w:r w:rsidRPr="00354A8B">
        <w:rPr>
          <w:rFonts w:cstheme="minorHAnsi"/>
          <w:sz w:val="22"/>
          <w:szCs w:val="22"/>
        </w:rPr>
        <w:t xml:space="preserve">, shelter in the humanitarian response should be targeted towards the most vulnerable and marginalized groups, </w:t>
      </w:r>
      <w:r w:rsidRPr="00354A8B">
        <w:rPr>
          <w:rFonts w:cstheme="minorHAnsi"/>
          <w:sz w:val="22"/>
          <w:szCs w:val="22"/>
          <w:lang w:val="en-GB"/>
        </w:rPr>
        <w:t>including women, unaccompanied minors, expectant mothers, mothers with young children, heads of household, persons with disabilities and the elderly.</w:t>
      </w:r>
    </w:p>
    <w:p w:rsidR="00B134FE" w:rsidRDefault="00B134FE" w:rsidP="00B134FE">
      <w:pPr>
        <w:contextualSpacing/>
        <w:jc w:val="both"/>
        <w:rPr>
          <w:rFonts w:cstheme="minorHAnsi"/>
          <w:sz w:val="22"/>
          <w:szCs w:val="22"/>
          <w:lang w:val="en-GB"/>
        </w:rPr>
      </w:pPr>
    </w:p>
    <w:p w:rsidR="00B134FE" w:rsidRPr="00B134FE" w:rsidRDefault="00B134FE" w:rsidP="00B134FE">
      <w:pPr>
        <w:spacing w:after="120" w:line="276" w:lineRule="auto"/>
        <w:jc w:val="both"/>
        <w:rPr>
          <w:rFonts w:cstheme="minorHAnsi"/>
          <w:b/>
          <w:bCs/>
          <w:i/>
          <w:iCs/>
          <w:sz w:val="21"/>
          <w:szCs w:val="21"/>
        </w:rPr>
      </w:pPr>
      <w:r w:rsidRPr="00B134FE">
        <w:rPr>
          <w:rFonts w:cstheme="minorHAnsi"/>
          <w:b/>
          <w:bCs/>
          <w:i/>
          <w:iCs/>
          <w:sz w:val="21"/>
          <w:szCs w:val="21"/>
        </w:rPr>
        <w:t>These principles are especially important during the beneficiary selection phase for temporary and long-term shelter.</w:t>
      </w:r>
    </w:p>
    <w:p w:rsidR="00B134FE" w:rsidRPr="00354A8B" w:rsidRDefault="00B134FE" w:rsidP="00B134FE">
      <w:pPr>
        <w:widowControl w:val="0"/>
        <w:tabs>
          <w:tab w:val="left" w:pos="220"/>
          <w:tab w:val="left" w:pos="720"/>
        </w:tabs>
        <w:autoSpaceDE w:val="0"/>
        <w:autoSpaceDN w:val="0"/>
        <w:adjustRightInd w:val="0"/>
        <w:spacing w:after="260"/>
        <w:contextualSpacing/>
        <w:jc w:val="both"/>
        <w:rPr>
          <w:rFonts w:cstheme="minorHAnsi"/>
          <w:b/>
          <w:sz w:val="22"/>
          <w:szCs w:val="22"/>
        </w:rPr>
      </w:pPr>
      <w:r>
        <w:rPr>
          <w:rFonts w:cstheme="minorHAnsi"/>
          <w:b/>
          <w:sz w:val="22"/>
          <w:szCs w:val="22"/>
        </w:rPr>
        <w:t>3</w:t>
      </w:r>
      <w:r w:rsidRPr="00354A8B">
        <w:rPr>
          <w:rFonts w:cstheme="minorHAnsi"/>
          <w:b/>
          <w:sz w:val="22"/>
          <w:szCs w:val="22"/>
        </w:rPr>
        <w:t>. All affected persons should have access to information and the right to participate</w:t>
      </w:r>
    </w:p>
    <w:p w:rsidR="00B134FE" w:rsidRPr="00354A8B" w:rsidRDefault="00B134FE" w:rsidP="00B134FE">
      <w:pPr>
        <w:widowControl w:val="0"/>
        <w:tabs>
          <w:tab w:val="left" w:pos="220"/>
          <w:tab w:val="left" w:pos="720"/>
        </w:tabs>
        <w:autoSpaceDE w:val="0"/>
        <w:autoSpaceDN w:val="0"/>
        <w:adjustRightInd w:val="0"/>
        <w:spacing w:after="260"/>
        <w:contextualSpacing/>
        <w:jc w:val="both"/>
        <w:rPr>
          <w:rFonts w:cstheme="minorHAnsi"/>
          <w:b/>
          <w:sz w:val="22"/>
          <w:szCs w:val="22"/>
        </w:rPr>
      </w:pPr>
    </w:p>
    <w:p w:rsidR="00B134FE" w:rsidRPr="00354A8B" w:rsidRDefault="00B134FE" w:rsidP="00B134FE">
      <w:pPr>
        <w:widowControl w:val="0"/>
        <w:tabs>
          <w:tab w:val="left" w:pos="220"/>
          <w:tab w:val="left" w:pos="720"/>
        </w:tabs>
        <w:autoSpaceDE w:val="0"/>
        <w:autoSpaceDN w:val="0"/>
        <w:adjustRightInd w:val="0"/>
        <w:spacing w:after="260"/>
        <w:contextualSpacing/>
        <w:jc w:val="both"/>
        <w:rPr>
          <w:rFonts w:cstheme="minorHAnsi"/>
          <w:sz w:val="22"/>
          <w:szCs w:val="22"/>
        </w:rPr>
      </w:pPr>
      <w:r w:rsidRPr="00354A8B">
        <w:rPr>
          <w:rFonts w:cstheme="minorHAnsi"/>
          <w:sz w:val="22"/>
          <w:szCs w:val="22"/>
        </w:rPr>
        <w:t xml:space="preserve">All affected groups and persons should have access to information and be able to participate meaningfully in the planning and implementation of the shelter response. </w:t>
      </w:r>
    </w:p>
    <w:p w:rsidR="00354A8B" w:rsidRPr="00354A8B" w:rsidRDefault="00354A8B" w:rsidP="00354A8B">
      <w:pPr>
        <w:contextualSpacing/>
        <w:jc w:val="both"/>
        <w:rPr>
          <w:rFonts w:cstheme="minorHAnsi"/>
          <w:sz w:val="22"/>
          <w:szCs w:val="22"/>
        </w:rPr>
      </w:pPr>
    </w:p>
    <w:p w:rsidR="00354A8B" w:rsidRPr="00354A8B" w:rsidRDefault="00354A8B" w:rsidP="00354A8B">
      <w:pPr>
        <w:widowControl w:val="0"/>
        <w:tabs>
          <w:tab w:val="left" w:pos="220"/>
          <w:tab w:val="left" w:pos="720"/>
        </w:tabs>
        <w:autoSpaceDE w:val="0"/>
        <w:autoSpaceDN w:val="0"/>
        <w:adjustRightInd w:val="0"/>
        <w:spacing w:after="260"/>
        <w:contextualSpacing/>
        <w:jc w:val="both"/>
        <w:rPr>
          <w:rFonts w:cstheme="minorHAnsi"/>
          <w:b/>
          <w:sz w:val="22"/>
          <w:szCs w:val="22"/>
        </w:rPr>
      </w:pPr>
      <w:r w:rsidRPr="00354A8B">
        <w:rPr>
          <w:rFonts w:cstheme="minorHAnsi"/>
          <w:b/>
          <w:sz w:val="22"/>
          <w:szCs w:val="22"/>
        </w:rPr>
        <w:t>4. Affected persons should have the right to return, local integration or relocation</w:t>
      </w:r>
    </w:p>
    <w:p w:rsidR="00354A8B" w:rsidRPr="00354A8B" w:rsidRDefault="00354A8B" w:rsidP="00354A8B">
      <w:pPr>
        <w:widowControl w:val="0"/>
        <w:tabs>
          <w:tab w:val="left" w:pos="220"/>
          <w:tab w:val="left" w:pos="720"/>
        </w:tabs>
        <w:autoSpaceDE w:val="0"/>
        <w:autoSpaceDN w:val="0"/>
        <w:adjustRightInd w:val="0"/>
        <w:spacing w:after="260"/>
        <w:contextualSpacing/>
        <w:jc w:val="both"/>
        <w:rPr>
          <w:rFonts w:cstheme="minorHAnsi"/>
          <w:b/>
          <w:sz w:val="22"/>
          <w:szCs w:val="22"/>
        </w:rPr>
      </w:pPr>
    </w:p>
    <w:p w:rsidR="00354A8B" w:rsidRPr="00354A8B" w:rsidRDefault="00354A8B" w:rsidP="00354A8B">
      <w:pPr>
        <w:widowControl w:val="0"/>
        <w:autoSpaceDE w:val="0"/>
        <w:autoSpaceDN w:val="0"/>
        <w:adjustRightInd w:val="0"/>
        <w:spacing w:after="240"/>
        <w:contextualSpacing/>
        <w:jc w:val="both"/>
        <w:rPr>
          <w:rFonts w:cstheme="minorHAnsi"/>
          <w:sz w:val="22"/>
          <w:szCs w:val="22"/>
        </w:rPr>
      </w:pPr>
      <w:r w:rsidRPr="00354A8B">
        <w:rPr>
          <w:rFonts w:cstheme="minorHAnsi"/>
          <w:sz w:val="22"/>
          <w:szCs w:val="22"/>
        </w:rPr>
        <w:t>After the emergency phase, affected persons should be granted the right to choose freely whether they want to return to their homes and places of origin; to integrate locally in the area to which they have been displaced; or to settle elsewhere in the country.</w:t>
      </w:r>
    </w:p>
    <w:p w:rsidR="00354A8B" w:rsidRPr="00354A8B" w:rsidRDefault="00354A8B" w:rsidP="00354A8B">
      <w:pPr>
        <w:suppressAutoHyphens/>
        <w:spacing w:after="240"/>
        <w:ind w:right="720"/>
        <w:contextualSpacing/>
        <w:jc w:val="both"/>
        <w:rPr>
          <w:rFonts w:cstheme="minorHAnsi"/>
          <w:b/>
          <w:sz w:val="22"/>
          <w:szCs w:val="22"/>
        </w:rPr>
      </w:pPr>
    </w:p>
    <w:p w:rsidR="00354A8B" w:rsidRPr="00354A8B" w:rsidRDefault="00354A8B" w:rsidP="00354A8B">
      <w:pPr>
        <w:suppressAutoHyphens/>
        <w:spacing w:after="240"/>
        <w:contextualSpacing/>
        <w:jc w:val="both"/>
        <w:rPr>
          <w:rFonts w:cstheme="minorHAnsi"/>
          <w:sz w:val="22"/>
          <w:szCs w:val="22"/>
        </w:rPr>
      </w:pPr>
      <w:r w:rsidRPr="00354A8B">
        <w:rPr>
          <w:rFonts w:cstheme="minorHAnsi"/>
          <w:sz w:val="22"/>
          <w:szCs w:val="22"/>
        </w:rPr>
        <w:t>Any restrictions on the right to these durable solutions – for example the imposition of a No Build Zone - should only be enforced in limited circumstances and only where international and national standards</w:t>
      </w:r>
      <w:r w:rsidR="00410D78">
        <w:rPr>
          <w:rFonts w:cstheme="minorHAnsi"/>
          <w:sz w:val="22"/>
          <w:szCs w:val="22"/>
        </w:rPr>
        <w:t xml:space="preserve"> (should they exist)</w:t>
      </w:r>
      <w:r w:rsidRPr="00354A8B">
        <w:rPr>
          <w:rFonts w:cstheme="minorHAnsi"/>
          <w:sz w:val="22"/>
          <w:szCs w:val="22"/>
        </w:rPr>
        <w:t xml:space="preserve"> are met.</w:t>
      </w:r>
    </w:p>
    <w:p w:rsidR="00354A8B" w:rsidRPr="00354A8B" w:rsidRDefault="00354A8B" w:rsidP="00354A8B">
      <w:pPr>
        <w:suppressAutoHyphens/>
        <w:spacing w:after="240"/>
        <w:contextualSpacing/>
        <w:jc w:val="both"/>
        <w:rPr>
          <w:rFonts w:cstheme="minorHAnsi"/>
          <w:sz w:val="22"/>
          <w:szCs w:val="22"/>
        </w:rPr>
      </w:pPr>
    </w:p>
    <w:p w:rsidR="00354A8B" w:rsidRDefault="00354A8B" w:rsidP="00354A8B">
      <w:pPr>
        <w:suppressAutoHyphens/>
        <w:spacing w:after="240"/>
        <w:contextualSpacing/>
        <w:jc w:val="both"/>
        <w:rPr>
          <w:rFonts w:cstheme="minorHAnsi"/>
          <w:sz w:val="22"/>
          <w:szCs w:val="22"/>
        </w:rPr>
      </w:pPr>
      <w:r w:rsidRPr="00354A8B">
        <w:rPr>
          <w:rFonts w:cstheme="minorHAnsi"/>
          <w:sz w:val="22"/>
          <w:szCs w:val="22"/>
        </w:rPr>
        <w:t>Where these restrictions result in the voluntary or forced relocation of populations, further specific international and national standards must be met, including that standards at the site of relocation are adequate under national and international guidelines</w:t>
      </w:r>
      <w:r w:rsidR="00AD609B">
        <w:rPr>
          <w:rFonts w:cstheme="minorHAnsi"/>
          <w:sz w:val="22"/>
          <w:szCs w:val="22"/>
        </w:rPr>
        <w:t>.</w:t>
      </w:r>
    </w:p>
    <w:p w:rsidR="00AD609B" w:rsidRDefault="00AD609B" w:rsidP="00B134FE">
      <w:pPr>
        <w:suppressAutoHyphens/>
        <w:contextualSpacing/>
        <w:jc w:val="both"/>
        <w:rPr>
          <w:rFonts w:cstheme="minorHAnsi"/>
          <w:sz w:val="22"/>
          <w:szCs w:val="22"/>
        </w:rPr>
      </w:pPr>
    </w:p>
    <w:p w:rsidR="00AD609B" w:rsidRPr="00354A8B" w:rsidRDefault="0097274F" w:rsidP="00FD254C">
      <w:pPr>
        <w:jc w:val="both"/>
        <w:rPr>
          <w:rFonts w:cstheme="minorHAnsi"/>
          <w:sz w:val="22"/>
          <w:szCs w:val="22"/>
        </w:rPr>
      </w:pPr>
      <w:r w:rsidRPr="00E513AC">
        <w:rPr>
          <w:rFonts w:ascii="Calibri" w:hAnsi="Calibri" w:cstheme="minorHAnsi"/>
          <w:bCs/>
          <w:iCs/>
          <w:sz w:val="21"/>
          <w:szCs w:val="21"/>
        </w:rPr>
        <w:t xml:space="preserve">For any further information on </w:t>
      </w:r>
      <w:r w:rsidR="00B134FE">
        <w:rPr>
          <w:rFonts w:ascii="Calibri" w:hAnsi="Calibri" w:cstheme="minorHAnsi"/>
          <w:bCs/>
          <w:iCs/>
          <w:sz w:val="21"/>
          <w:szCs w:val="21"/>
        </w:rPr>
        <w:t>Housing, Land and Property</w:t>
      </w:r>
      <w:r w:rsidR="00410D78">
        <w:rPr>
          <w:rFonts w:ascii="Calibri" w:hAnsi="Calibri" w:cstheme="minorHAnsi"/>
          <w:bCs/>
          <w:iCs/>
          <w:sz w:val="21"/>
          <w:szCs w:val="21"/>
        </w:rPr>
        <w:t xml:space="preserve"> issues</w:t>
      </w:r>
      <w:r w:rsidRPr="00E513AC">
        <w:rPr>
          <w:rFonts w:ascii="Calibri" w:hAnsi="Calibri" w:cstheme="minorHAnsi"/>
          <w:bCs/>
          <w:iCs/>
          <w:sz w:val="21"/>
          <w:szCs w:val="21"/>
        </w:rPr>
        <w:t>, please contact:</w:t>
      </w:r>
      <w:r w:rsidR="00B134FE">
        <w:rPr>
          <w:rFonts w:ascii="Calibri" w:hAnsi="Calibri" w:cstheme="minorHAnsi"/>
          <w:bCs/>
          <w:iCs/>
          <w:sz w:val="21"/>
          <w:szCs w:val="21"/>
        </w:rPr>
        <w:t xml:space="preserve"> </w:t>
      </w:r>
      <w:r w:rsidRPr="00E513AC">
        <w:rPr>
          <w:rFonts w:ascii="Calibri" w:hAnsi="Calibri" w:cstheme="minorHAnsi"/>
          <w:bCs/>
          <w:iCs/>
          <w:sz w:val="21"/>
          <w:szCs w:val="21"/>
        </w:rPr>
        <w:t xml:space="preserve">Victoria Stodart – </w:t>
      </w:r>
      <w:hyperlink r:id="rId9" w:history="1">
        <w:r w:rsidR="00D350E6" w:rsidRPr="00B134FE">
          <w:rPr>
            <w:rStyle w:val="Hyperlink"/>
            <w:sz w:val="22"/>
            <w:szCs w:val="22"/>
          </w:rPr>
          <w:t>victoria.stodart@ifrc.org</w:t>
        </w:r>
      </w:hyperlink>
      <w:r w:rsidR="00D350E6" w:rsidRPr="00B134FE">
        <w:rPr>
          <w:sz w:val="22"/>
          <w:szCs w:val="22"/>
        </w:rPr>
        <w:t xml:space="preserve"> </w:t>
      </w:r>
      <w:bookmarkStart w:id="0" w:name="_GoBack"/>
      <w:bookmarkEnd w:id="0"/>
    </w:p>
    <w:p w:rsidR="00D7472E" w:rsidRPr="008C7872" w:rsidRDefault="00D7472E" w:rsidP="0097274F"/>
    <w:sectPr w:rsidR="00D7472E" w:rsidRPr="008C7872" w:rsidSect="00534C3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97" w:rsidRDefault="00B55797" w:rsidP="00584F10">
      <w:r>
        <w:separator/>
      </w:r>
    </w:p>
  </w:endnote>
  <w:endnote w:type="continuationSeparator" w:id="0">
    <w:p w:rsidR="00B55797" w:rsidRDefault="00B55797" w:rsidP="0058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skoola Pota">
    <w:altName w:val="Didot"/>
    <w:panose1 w:val="020B0502040204020203"/>
    <w:charset w:val="00"/>
    <w:family w:val="swiss"/>
    <w:pitch w:val="variable"/>
    <w:sig w:usb0="00000003" w:usb1="00000000" w:usb2="000002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Bold">
    <w:panose1 w:val="020F07020304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10" w:rsidRPr="00B2499F" w:rsidRDefault="00354A8B" w:rsidP="00B134FE">
    <w:pPr>
      <w:pStyle w:val="Footer"/>
      <w:rPr>
        <w:color w:val="7F1416"/>
        <w:sz w:val="18"/>
        <w:szCs w:val="18"/>
      </w:rPr>
    </w:pPr>
    <w:r>
      <w:rPr>
        <w:noProof/>
        <w:color w:val="7F1416"/>
        <w:sz w:val="18"/>
        <w:szCs w:val="18"/>
        <w:lang w:eastAsia="en-GB"/>
      </w:rPr>
      <mc:AlternateContent>
        <mc:Choice Requires="wps">
          <w:drawing>
            <wp:anchor distT="4294967295" distB="4294967295" distL="114300" distR="114300" simplePos="0" relativeHeight="251659264" behindDoc="0" locked="0" layoutInCell="1" allowOverlap="1" wp14:anchorId="523CD3DD" wp14:editId="0298A1C0">
              <wp:simplePos x="0" y="0"/>
              <wp:positionH relativeFrom="margin">
                <wp:align>center</wp:align>
              </wp:positionH>
              <wp:positionV relativeFrom="paragraph">
                <wp:posOffset>-51436</wp:posOffset>
              </wp:positionV>
              <wp:extent cx="57600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id="Straight Connector 4"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00913C21">
      <w:rPr>
        <w:color w:val="7F1416"/>
        <w:sz w:val="18"/>
        <w:szCs w:val="18"/>
      </w:rPr>
      <w:tab/>
    </w:r>
    <w:r w:rsidR="00D650D3" w:rsidRPr="00B2499F">
      <w:rPr>
        <w:color w:val="7F1416"/>
        <w:sz w:val="18"/>
        <w:szCs w:val="18"/>
      </w:rPr>
      <w:t xml:space="preserve">www.sheltercluster.org </w:t>
    </w:r>
    <w:r w:rsidR="00D650D3" w:rsidRPr="00B2499F">
      <w:rPr>
        <w:color w:val="7F1416"/>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97" w:rsidRDefault="00B55797" w:rsidP="00584F10">
      <w:r>
        <w:separator/>
      </w:r>
    </w:p>
  </w:footnote>
  <w:footnote w:type="continuationSeparator" w:id="0">
    <w:p w:rsidR="00B55797" w:rsidRDefault="00B55797" w:rsidP="00584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66" w:rsidRPr="001171B8" w:rsidRDefault="00CE5166" w:rsidP="00CE5166">
    <w:pPr>
      <w:pStyle w:val="Header"/>
      <w:ind w:firstLine="567"/>
      <w:rPr>
        <w:rFonts w:ascii="Verdana" w:hAnsi="Verdana"/>
        <w:sz w:val="14"/>
        <w:szCs w:val="14"/>
      </w:rPr>
    </w:pPr>
    <w:r w:rsidRPr="005C324F">
      <w:rPr>
        <w:rFonts w:ascii="Verdana" w:hAnsi="Verdana"/>
        <w:b/>
        <w:noProof/>
        <w:color w:val="7F1416"/>
        <w:sz w:val="16"/>
        <w:szCs w:val="16"/>
        <w:lang w:eastAsia="en-GB"/>
      </w:rPr>
      <w:drawing>
        <wp:anchor distT="0" distB="0" distL="114300" distR="114300" simplePos="0" relativeHeight="251658240" behindDoc="0" locked="0" layoutInCell="1" allowOverlap="1" wp14:anchorId="096E1212" wp14:editId="5EB7E85F">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00291D54">
      <w:rPr>
        <w:rFonts w:ascii="Verdana" w:hAnsi="Verdana"/>
        <w:b/>
        <w:color w:val="7F1416"/>
        <w:sz w:val="16"/>
        <w:szCs w:val="16"/>
      </w:rPr>
      <w:t xml:space="preserve">Global </w:t>
    </w:r>
    <w:r w:rsidRPr="005C324F">
      <w:rPr>
        <w:rFonts w:ascii="Verdana" w:hAnsi="Verdana"/>
        <w:b/>
        <w:color w:val="7F1416"/>
        <w:sz w:val="16"/>
        <w:szCs w:val="16"/>
      </w:rPr>
      <w:t>Shelter Cluster</w:t>
    </w:r>
  </w:p>
  <w:p w:rsidR="00CE5166" w:rsidRPr="005C324F" w:rsidRDefault="00CE5166"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CE5166" w:rsidRPr="005C324F" w:rsidRDefault="00CE5166"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7">
    <w:nsid w:val="3B2068C0"/>
    <w:multiLevelType w:val="hybridMultilevel"/>
    <w:tmpl w:val="86F87990"/>
    <w:lvl w:ilvl="0" w:tplc="54107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9"/>
  </w:num>
  <w:num w:numId="6">
    <w:abstractNumId w:val="3"/>
  </w:num>
  <w:num w:numId="7">
    <w:abstractNumId w:val="8"/>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A8B"/>
    <w:rsid w:val="00013D97"/>
    <w:rsid w:val="00030530"/>
    <w:rsid w:val="00062558"/>
    <w:rsid w:val="00071D43"/>
    <w:rsid w:val="000874E5"/>
    <w:rsid w:val="00090A37"/>
    <w:rsid w:val="00110270"/>
    <w:rsid w:val="001171B8"/>
    <w:rsid w:val="001312DF"/>
    <w:rsid w:val="001405A5"/>
    <w:rsid w:val="00161C31"/>
    <w:rsid w:val="00163E2F"/>
    <w:rsid w:val="001767A4"/>
    <w:rsid w:val="001E4389"/>
    <w:rsid w:val="001F18F1"/>
    <w:rsid w:val="00203D40"/>
    <w:rsid w:val="00205387"/>
    <w:rsid w:val="002154CA"/>
    <w:rsid w:val="00217E6B"/>
    <w:rsid w:val="00241F07"/>
    <w:rsid w:val="00276798"/>
    <w:rsid w:val="002856C7"/>
    <w:rsid w:val="00291D54"/>
    <w:rsid w:val="002A04AE"/>
    <w:rsid w:val="002B0591"/>
    <w:rsid w:val="002C2EE4"/>
    <w:rsid w:val="002E28D1"/>
    <w:rsid w:val="002E64B5"/>
    <w:rsid w:val="002E6B43"/>
    <w:rsid w:val="002F0383"/>
    <w:rsid w:val="002F3F2F"/>
    <w:rsid w:val="00315C0F"/>
    <w:rsid w:val="00320A52"/>
    <w:rsid w:val="003232A2"/>
    <w:rsid w:val="00354A8B"/>
    <w:rsid w:val="003738B6"/>
    <w:rsid w:val="00382DE7"/>
    <w:rsid w:val="003A4B8D"/>
    <w:rsid w:val="003C0D47"/>
    <w:rsid w:val="003C582E"/>
    <w:rsid w:val="003D3B37"/>
    <w:rsid w:val="003F4219"/>
    <w:rsid w:val="00400A3D"/>
    <w:rsid w:val="0040142F"/>
    <w:rsid w:val="00410D78"/>
    <w:rsid w:val="004424C8"/>
    <w:rsid w:val="00446AC9"/>
    <w:rsid w:val="00477BB3"/>
    <w:rsid w:val="00483E5C"/>
    <w:rsid w:val="00485CDA"/>
    <w:rsid w:val="004C279B"/>
    <w:rsid w:val="004C7173"/>
    <w:rsid w:val="0050377B"/>
    <w:rsid w:val="00510903"/>
    <w:rsid w:val="0051752C"/>
    <w:rsid w:val="00523A33"/>
    <w:rsid w:val="0052408A"/>
    <w:rsid w:val="005260B4"/>
    <w:rsid w:val="0053049C"/>
    <w:rsid w:val="0053395D"/>
    <w:rsid w:val="00534C3B"/>
    <w:rsid w:val="00567F7D"/>
    <w:rsid w:val="0057408E"/>
    <w:rsid w:val="00584F10"/>
    <w:rsid w:val="005A0134"/>
    <w:rsid w:val="005B7B5E"/>
    <w:rsid w:val="005C324F"/>
    <w:rsid w:val="005D2A9A"/>
    <w:rsid w:val="005D6DF3"/>
    <w:rsid w:val="005E6B61"/>
    <w:rsid w:val="005F0D53"/>
    <w:rsid w:val="005F57A6"/>
    <w:rsid w:val="00606EE7"/>
    <w:rsid w:val="00607E43"/>
    <w:rsid w:val="00640275"/>
    <w:rsid w:val="00643791"/>
    <w:rsid w:val="00677930"/>
    <w:rsid w:val="00690722"/>
    <w:rsid w:val="006B6B15"/>
    <w:rsid w:val="006C5FAB"/>
    <w:rsid w:val="006D744A"/>
    <w:rsid w:val="006F67D6"/>
    <w:rsid w:val="006F6CBD"/>
    <w:rsid w:val="00706CF8"/>
    <w:rsid w:val="00716660"/>
    <w:rsid w:val="007312A2"/>
    <w:rsid w:val="00733F2A"/>
    <w:rsid w:val="00761A2C"/>
    <w:rsid w:val="00765564"/>
    <w:rsid w:val="00773FD9"/>
    <w:rsid w:val="00780BF8"/>
    <w:rsid w:val="00780EFE"/>
    <w:rsid w:val="00790CB0"/>
    <w:rsid w:val="007949A5"/>
    <w:rsid w:val="007D6367"/>
    <w:rsid w:val="00806D4E"/>
    <w:rsid w:val="00813A44"/>
    <w:rsid w:val="00821E17"/>
    <w:rsid w:val="00821E60"/>
    <w:rsid w:val="00825528"/>
    <w:rsid w:val="00832406"/>
    <w:rsid w:val="00832E7E"/>
    <w:rsid w:val="0084110A"/>
    <w:rsid w:val="008705EC"/>
    <w:rsid w:val="008769B9"/>
    <w:rsid w:val="00883E0D"/>
    <w:rsid w:val="008B14BE"/>
    <w:rsid w:val="008B2895"/>
    <w:rsid w:val="008C06F0"/>
    <w:rsid w:val="008C6C92"/>
    <w:rsid w:val="008C7872"/>
    <w:rsid w:val="008D3D2E"/>
    <w:rsid w:val="008F2572"/>
    <w:rsid w:val="00913C21"/>
    <w:rsid w:val="00930F85"/>
    <w:rsid w:val="0095081B"/>
    <w:rsid w:val="00951CA1"/>
    <w:rsid w:val="0096584E"/>
    <w:rsid w:val="0097274F"/>
    <w:rsid w:val="00987E70"/>
    <w:rsid w:val="009A4FE4"/>
    <w:rsid w:val="009B6219"/>
    <w:rsid w:val="009B6AAE"/>
    <w:rsid w:val="009C0760"/>
    <w:rsid w:val="009E7ABF"/>
    <w:rsid w:val="00A00FCF"/>
    <w:rsid w:val="00A16B69"/>
    <w:rsid w:val="00A22B22"/>
    <w:rsid w:val="00A23C02"/>
    <w:rsid w:val="00A4574B"/>
    <w:rsid w:val="00A57897"/>
    <w:rsid w:val="00A60668"/>
    <w:rsid w:val="00A60B2D"/>
    <w:rsid w:val="00A616DE"/>
    <w:rsid w:val="00A92B90"/>
    <w:rsid w:val="00A977A9"/>
    <w:rsid w:val="00AA4074"/>
    <w:rsid w:val="00AB260B"/>
    <w:rsid w:val="00AB2AF8"/>
    <w:rsid w:val="00AD609B"/>
    <w:rsid w:val="00AE23F4"/>
    <w:rsid w:val="00B134FE"/>
    <w:rsid w:val="00B166BD"/>
    <w:rsid w:val="00B2499F"/>
    <w:rsid w:val="00B425DC"/>
    <w:rsid w:val="00B47014"/>
    <w:rsid w:val="00B55797"/>
    <w:rsid w:val="00B55CBA"/>
    <w:rsid w:val="00B72373"/>
    <w:rsid w:val="00B737F0"/>
    <w:rsid w:val="00B86496"/>
    <w:rsid w:val="00B9587C"/>
    <w:rsid w:val="00BA57D3"/>
    <w:rsid w:val="00BA6BB6"/>
    <w:rsid w:val="00BB0AFF"/>
    <w:rsid w:val="00BB4A12"/>
    <w:rsid w:val="00BC50CC"/>
    <w:rsid w:val="00BD6830"/>
    <w:rsid w:val="00BD6B11"/>
    <w:rsid w:val="00BE7BE0"/>
    <w:rsid w:val="00C23D0C"/>
    <w:rsid w:val="00C30B1D"/>
    <w:rsid w:val="00C75497"/>
    <w:rsid w:val="00C81294"/>
    <w:rsid w:val="00C91470"/>
    <w:rsid w:val="00C92CF3"/>
    <w:rsid w:val="00CB38E2"/>
    <w:rsid w:val="00CC1B5A"/>
    <w:rsid w:val="00CC360A"/>
    <w:rsid w:val="00CD3CC5"/>
    <w:rsid w:val="00CE5166"/>
    <w:rsid w:val="00D1203F"/>
    <w:rsid w:val="00D14A53"/>
    <w:rsid w:val="00D16ADE"/>
    <w:rsid w:val="00D265FC"/>
    <w:rsid w:val="00D350E6"/>
    <w:rsid w:val="00D35CA6"/>
    <w:rsid w:val="00D41053"/>
    <w:rsid w:val="00D463F7"/>
    <w:rsid w:val="00D650D3"/>
    <w:rsid w:val="00D7148C"/>
    <w:rsid w:val="00D73ADD"/>
    <w:rsid w:val="00D7472E"/>
    <w:rsid w:val="00D81853"/>
    <w:rsid w:val="00D92430"/>
    <w:rsid w:val="00DA4B0D"/>
    <w:rsid w:val="00DB3DBA"/>
    <w:rsid w:val="00DC07F5"/>
    <w:rsid w:val="00DD187F"/>
    <w:rsid w:val="00DD1A95"/>
    <w:rsid w:val="00DE357F"/>
    <w:rsid w:val="00DF2192"/>
    <w:rsid w:val="00DF4E95"/>
    <w:rsid w:val="00E17A2A"/>
    <w:rsid w:val="00E20F5B"/>
    <w:rsid w:val="00E30821"/>
    <w:rsid w:val="00E36C33"/>
    <w:rsid w:val="00E52F1D"/>
    <w:rsid w:val="00E55792"/>
    <w:rsid w:val="00E567A1"/>
    <w:rsid w:val="00E7333B"/>
    <w:rsid w:val="00E86518"/>
    <w:rsid w:val="00E930A3"/>
    <w:rsid w:val="00E95676"/>
    <w:rsid w:val="00ED0E37"/>
    <w:rsid w:val="00ED3EEC"/>
    <w:rsid w:val="00EE3557"/>
    <w:rsid w:val="00EF2574"/>
    <w:rsid w:val="00F5045A"/>
    <w:rsid w:val="00F84EC2"/>
    <w:rsid w:val="00F95A0C"/>
    <w:rsid w:val="00FA189D"/>
    <w:rsid w:val="00FA6D2A"/>
    <w:rsid w:val="00FA70D1"/>
    <w:rsid w:val="00FC79F3"/>
    <w:rsid w:val="00FD254C"/>
    <w:rsid w:val="00FD6274"/>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A8B"/>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line="276" w:lineRule="auto"/>
      <w:outlineLvl w:val="0"/>
    </w:pPr>
    <w:rPr>
      <w:rFonts w:ascii="Verdana" w:eastAsiaTheme="majorEastAsia" w:hAnsi="Verdana" w:cstheme="majorBidi"/>
      <w:b/>
      <w:bCs/>
      <w:color w:val="04314C"/>
      <w:szCs w:val="28"/>
      <w:lang w:val="en-GB"/>
    </w:rPr>
  </w:style>
  <w:style w:type="paragraph" w:styleId="Heading2">
    <w:name w:val="heading 2"/>
    <w:basedOn w:val="Normal"/>
    <w:next w:val="Normal"/>
    <w:link w:val="Heading2Char"/>
    <w:autoRedefine/>
    <w:uiPriority w:val="9"/>
    <w:unhideWhenUsed/>
    <w:qFormat/>
    <w:rsid w:val="00E930A3"/>
    <w:pPr>
      <w:keepNext/>
      <w:keepLines/>
      <w:spacing w:before="200" w:line="276" w:lineRule="auto"/>
      <w:ind w:left="357" w:hanging="357"/>
      <w:outlineLvl w:val="1"/>
    </w:pPr>
    <w:rPr>
      <w:rFonts w:ascii="Calibri Bold" w:eastAsiaTheme="majorEastAsia" w:hAnsi="Calibri Bold" w:cstheme="majorBidi"/>
      <w:b/>
      <w:bCs/>
      <w:color w:val="04314C"/>
      <w:sz w:val="22"/>
      <w:szCs w:val="22"/>
      <w:lang w:val="en-GB"/>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line="276" w:lineRule="auto"/>
      <w:outlineLvl w:val="4"/>
    </w:pPr>
    <w:rPr>
      <w:rFonts w:asciiTheme="majorHAnsi" w:eastAsiaTheme="majorEastAsia" w:hAnsiTheme="majorHAnsi" w:cstheme="majorBidi"/>
      <w:color w:val="04314C"/>
      <w:sz w:val="22"/>
      <w:szCs w:val="22"/>
      <w:lang w:val="en-GB"/>
    </w:rPr>
  </w:style>
  <w:style w:type="paragraph" w:styleId="Heading6">
    <w:name w:val="heading 6"/>
    <w:basedOn w:val="Normal"/>
    <w:next w:val="Normal"/>
    <w:link w:val="Heading6Char"/>
    <w:uiPriority w:val="9"/>
    <w:semiHidden/>
    <w:unhideWhenUsed/>
    <w:qFormat/>
    <w:rsid w:val="00EE3557"/>
    <w:pPr>
      <w:keepNext/>
      <w:keepLines/>
      <w:spacing w:before="200" w:line="276" w:lineRule="auto"/>
      <w:outlineLvl w:val="5"/>
    </w:pPr>
    <w:rPr>
      <w:rFonts w:asciiTheme="majorHAnsi" w:eastAsiaTheme="majorEastAsia" w:hAnsiTheme="majorHAnsi" w:cstheme="majorBidi"/>
      <w:i/>
      <w:iCs/>
      <w:color w:val="1B2C37" w:themeColor="accent1" w:themeShade="7F"/>
      <w:sz w:val="22"/>
      <w:szCs w:val="22"/>
      <w:lang w:val="en-GB"/>
    </w:rPr>
  </w:style>
  <w:style w:type="paragraph" w:styleId="Heading7">
    <w:name w:val="heading 7"/>
    <w:basedOn w:val="Normal"/>
    <w:next w:val="Normal"/>
    <w:link w:val="Heading7Char"/>
    <w:uiPriority w:val="9"/>
    <w:semiHidden/>
    <w:unhideWhenUsed/>
    <w:qFormat/>
    <w:rsid w:val="00EE355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GB"/>
    </w:rPr>
  </w:style>
  <w:style w:type="paragraph" w:styleId="Heading8">
    <w:name w:val="heading 8"/>
    <w:basedOn w:val="Normal"/>
    <w:next w:val="Normal"/>
    <w:link w:val="Heading8Char"/>
    <w:uiPriority w:val="9"/>
    <w:semiHidden/>
    <w:unhideWhenUsed/>
    <w:qFormat/>
    <w:rsid w:val="00EE3557"/>
    <w:pPr>
      <w:keepNext/>
      <w:keepLines/>
      <w:spacing w:before="200" w:line="276" w:lineRule="auto"/>
      <w:outlineLvl w:val="7"/>
    </w:pPr>
    <w:rPr>
      <w:rFonts w:asciiTheme="majorHAnsi" w:eastAsiaTheme="majorEastAsia" w:hAnsiTheme="majorHAnsi" w:cstheme="majorBidi"/>
      <w:color w:val="365A70" w:themeColor="accent1"/>
      <w:sz w:val="20"/>
      <w:szCs w:val="20"/>
      <w:lang w:val="en-GB"/>
    </w:rPr>
  </w:style>
  <w:style w:type="paragraph" w:styleId="Heading9">
    <w:name w:val="heading 9"/>
    <w:basedOn w:val="Normal"/>
    <w:next w:val="Normal"/>
    <w:link w:val="Heading9Char"/>
    <w:uiPriority w:val="9"/>
    <w:semiHidden/>
    <w:unhideWhenUsed/>
    <w:qFormat/>
    <w:rsid w:val="00EE3557"/>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pPr>
      <w:spacing w:after="200" w:line="276" w:lineRule="auto"/>
    </w:pPr>
    <w:rPr>
      <w:rFonts w:ascii="Verdana" w:hAnsi="Verdana"/>
      <w:b/>
      <w:color w:val="04314C"/>
      <w:sz w:val="44"/>
      <w:szCs w:val="44"/>
      <w:lang w:val="en-GB"/>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E930A3"/>
    <w:rPr>
      <w:rFonts w:ascii="Calibri Bold" w:eastAsiaTheme="majorEastAsia" w:hAnsi="Calibri Bold" w:cstheme="majorBidi"/>
      <w:b/>
      <w:bCs/>
      <w:color w:val="04314C"/>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rPr>
      <w:sz w:val="22"/>
      <w:szCs w:val="22"/>
      <w:lang w:val="en-GB"/>
    </w:r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rPr>
      <w:sz w:val="22"/>
      <w:szCs w:val="22"/>
      <w:lang w:val="en-GB"/>
    </w:r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after="200"/>
    </w:pPr>
    <w:rPr>
      <w:b/>
      <w:bCs/>
      <w:color w:val="04314C"/>
      <w:sz w:val="18"/>
      <w:szCs w:val="18"/>
      <w:lang w:val="en-GB"/>
    </w:rPr>
  </w:style>
  <w:style w:type="paragraph" w:styleId="ListParagraph">
    <w:name w:val="List Paragraph"/>
    <w:basedOn w:val="Normal"/>
    <w:uiPriority w:val="34"/>
    <w:qFormat/>
    <w:rsid w:val="00EE3557"/>
    <w:pPr>
      <w:spacing w:after="200" w:line="276" w:lineRule="auto"/>
      <w:ind w:left="720"/>
      <w:contextualSpacing/>
    </w:pPr>
    <w:rPr>
      <w:sz w:val="22"/>
      <w:szCs w:val="22"/>
      <w:lang w:val="en-GB"/>
    </w:r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spacing w:after="200" w:line="276" w:lineRule="auto"/>
    </w:pPr>
    <w:rPr>
      <w:rFonts w:ascii="Verdana" w:eastAsiaTheme="majorEastAsia" w:hAnsi="Verdana" w:cstheme="majorBidi"/>
      <w:i/>
      <w:iCs/>
      <w:color w:val="04314C"/>
      <w:spacing w:val="15"/>
      <w:lang w:val="en-GB"/>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pPr>
      <w:spacing w:after="200" w:line="276" w:lineRule="auto"/>
    </w:pPr>
    <w:rPr>
      <w:i/>
      <w:iCs/>
      <w:color w:val="000000" w:themeColor="text1"/>
      <w:sz w:val="22"/>
      <w:szCs w:val="22"/>
      <w:lang w:val="en-GB"/>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line="276" w:lineRule="auto"/>
      <w:ind w:left="936" w:right="936"/>
    </w:pPr>
    <w:rPr>
      <w:b/>
      <w:bCs/>
      <w:i/>
      <w:iCs/>
      <w:color w:val="365A70" w:themeColor="accent1"/>
      <w:sz w:val="22"/>
      <w:szCs w:val="22"/>
      <w:lang w:val="en-GB"/>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lang w:val="en-GB"/>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A8B"/>
    <w:pPr>
      <w:spacing w:after="0" w:line="240" w:lineRule="auto"/>
    </w:pPr>
    <w:rPr>
      <w:sz w:val="24"/>
      <w:szCs w:val="24"/>
      <w:lang w:val="en-US"/>
    </w:rPr>
  </w:style>
  <w:style w:type="paragraph" w:styleId="Heading1">
    <w:name w:val="heading 1"/>
    <w:basedOn w:val="Normal"/>
    <w:next w:val="Normal"/>
    <w:link w:val="Heading1Char"/>
    <w:uiPriority w:val="9"/>
    <w:qFormat/>
    <w:rsid w:val="008C06F0"/>
    <w:pPr>
      <w:keepNext/>
      <w:keepLines/>
      <w:spacing w:before="480" w:line="276" w:lineRule="auto"/>
      <w:outlineLvl w:val="0"/>
    </w:pPr>
    <w:rPr>
      <w:rFonts w:ascii="Verdana" w:eastAsiaTheme="majorEastAsia" w:hAnsi="Verdana" w:cstheme="majorBidi"/>
      <w:b/>
      <w:bCs/>
      <w:color w:val="04314C"/>
      <w:szCs w:val="28"/>
      <w:lang w:val="en-GB"/>
    </w:rPr>
  </w:style>
  <w:style w:type="paragraph" w:styleId="Heading2">
    <w:name w:val="heading 2"/>
    <w:basedOn w:val="Normal"/>
    <w:next w:val="Normal"/>
    <w:link w:val="Heading2Char"/>
    <w:autoRedefine/>
    <w:uiPriority w:val="9"/>
    <w:unhideWhenUsed/>
    <w:qFormat/>
    <w:rsid w:val="00E930A3"/>
    <w:pPr>
      <w:keepNext/>
      <w:keepLines/>
      <w:spacing w:before="200" w:line="276" w:lineRule="auto"/>
      <w:ind w:left="357" w:hanging="357"/>
      <w:outlineLvl w:val="1"/>
    </w:pPr>
    <w:rPr>
      <w:rFonts w:ascii="Calibri Bold" w:eastAsiaTheme="majorEastAsia" w:hAnsi="Calibri Bold" w:cstheme="majorBidi"/>
      <w:b/>
      <w:bCs/>
      <w:color w:val="04314C"/>
      <w:sz w:val="22"/>
      <w:szCs w:val="22"/>
      <w:lang w:val="en-GB"/>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line="276" w:lineRule="auto"/>
      <w:outlineLvl w:val="4"/>
    </w:pPr>
    <w:rPr>
      <w:rFonts w:asciiTheme="majorHAnsi" w:eastAsiaTheme="majorEastAsia" w:hAnsiTheme="majorHAnsi" w:cstheme="majorBidi"/>
      <w:color w:val="04314C"/>
      <w:sz w:val="22"/>
      <w:szCs w:val="22"/>
      <w:lang w:val="en-GB"/>
    </w:rPr>
  </w:style>
  <w:style w:type="paragraph" w:styleId="Heading6">
    <w:name w:val="heading 6"/>
    <w:basedOn w:val="Normal"/>
    <w:next w:val="Normal"/>
    <w:link w:val="Heading6Char"/>
    <w:uiPriority w:val="9"/>
    <w:semiHidden/>
    <w:unhideWhenUsed/>
    <w:qFormat/>
    <w:rsid w:val="00EE3557"/>
    <w:pPr>
      <w:keepNext/>
      <w:keepLines/>
      <w:spacing w:before="200" w:line="276" w:lineRule="auto"/>
      <w:outlineLvl w:val="5"/>
    </w:pPr>
    <w:rPr>
      <w:rFonts w:asciiTheme="majorHAnsi" w:eastAsiaTheme="majorEastAsia" w:hAnsiTheme="majorHAnsi" w:cstheme="majorBidi"/>
      <w:i/>
      <w:iCs/>
      <w:color w:val="1B2C37" w:themeColor="accent1" w:themeShade="7F"/>
      <w:sz w:val="22"/>
      <w:szCs w:val="22"/>
      <w:lang w:val="en-GB"/>
    </w:rPr>
  </w:style>
  <w:style w:type="paragraph" w:styleId="Heading7">
    <w:name w:val="heading 7"/>
    <w:basedOn w:val="Normal"/>
    <w:next w:val="Normal"/>
    <w:link w:val="Heading7Char"/>
    <w:uiPriority w:val="9"/>
    <w:semiHidden/>
    <w:unhideWhenUsed/>
    <w:qFormat/>
    <w:rsid w:val="00EE355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GB"/>
    </w:rPr>
  </w:style>
  <w:style w:type="paragraph" w:styleId="Heading8">
    <w:name w:val="heading 8"/>
    <w:basedOn w:val="Normal"/>
    <w:next w:val="Normal"/>
    <w:link w:val="Heading8Char"/>
    <w:uiPriority w:val="9"/>
    <w:semiHidden/>
    <w:unhideWhenUsed/>
    <w:qFormat/>
    <w:rsid w:val="00EE3557"/>
    <w:pPr>
      <w:keepNext/>
      <w:keepLines/>
      <w:spacing w:before="200" w:line="276" w:lineRule="auto"/>
      <w:outlineLvl w:val="7"/>
    </w:pPr>
    <w:rPr>
      <w:rFonts w:asciiTheme="majorHAnsi" w:eastAsiaTheme="majorEastAsia" w:hAnsiTheme="majorHAnsi" w:cstheme="majorBidi"/>
      <w:color w:val="365A70" w:themeColor="accent1"/>
      <w:sz w:val="20"/>
      <w:szCs w:val="20"/>
      <w:lang w:val="en-GB"/>
    </w:rPr>
  </w:style>
  <w:style w:type="paragraph" w:styleId="Heading9">
    <w:name w:val="heading 9"/>
    <w:basedOn w:val="Normal"/>
    <w:next w:val="Normal"/>
    <w:link w:val="Heading9Char"/>
    <w:uiPriority w:val="9"/>
    <w:semiHidden/>
    <w:unhideWhenUsed/>
    <w:qFormat/>
    <w:rsid w:val="00EE3557"/>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pPr>
      <w:spacing w:after="200" w:line="276" w:lineRule="auto"/>
    </w:pPr>
    <w:rPr>
      <w:rFonts w:ascii="Verdana" w:hAnsi="Verdana"/>
      <w:b/>
      <w:color w:val="04314C"/>
      <w:sz w:val="44"/>
      <w:szCs w:val="44"/>
      <w:lang w:val="en-GB"/>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E930A3"/>
    <w:rPr>
      <w:rFonts w:ascii="Calibri Bold" w:eastAsiaTheme="majorEastAsia" w:hAnsi="Calibri Bold" w:cstheme="majorBidi"/>
      <w:b/>
      <w:bCs/>
      <w:color w:val="04314C"/>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pPr>
    <w:rPr>
      <w:sz w:val="22"/>
      <w:szCs w:val="22"/>
      <w:lang w:val="en-GB"/>
    </w:r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pPr>
    <w:rPr>
      <w:sz w:val="22"/>
      <w:szCs w:val="22"/>
      <w:lang w:val="en-GB"/>
    </w:r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after="200"/>
    </w:pPr>
    <w:rPr>
      <w:b/>
      <w:bCs/>
      <w:color w:val="04314C"/>
      <w:sz w:val="18"/>
      <w:szCs w:val="18"/>
      <w:lang w:val="en-GB"/>
    </w:rPr>
  </w:style>
  <w:style w:type="paragraph" w:styleId="ListParagraph">
    <w:name w:val="List Paragraph"/>
    <w:basedOn w:val="Normal"/>
    <w:uiPriority w:val="34"/>
    <w:qFormat/>
    <w:rsid w:val="00EE3557"/>
    <w:pPr>
      <w:spacing w:after="200" w:line="276" w:lineRule="auto"/>
      <w:ind w:left="720"/>
      <w:contextualSpacing/>
    </w:pPr>
    <w:rPr>
      <w:sz w:val="22"/>
      <w:szCs w:val="22"/>
      <w:lang w:val="en-GB"/>
    </w:r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spacing w:after="200" w:line="276" w:lineRule="auto"/>
    </w:pPr>
    <w:rPr>
      <w:rFonts w:ascii="Verdana" w:eastAsiaTheme="majorEastAsia" w:hAnsi="Verdana" w:cstheme="majorBidi"/>
      <w:i/>
      <w:iCs/>
      <w:color w:val="04314C"/>
      <w:spacing w:val="15"/>
      <w:lang w:val="en-GB"/>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pPr>
      <w:spacing w:after="200" w:line="276" w:lineRule="auto"/>
    </w:pPr>
    <w:rPr>
      <w:i/>
      <w:iCs/>
      <w:color w:val="000000" w:themeColor="text1"/>
      <w:sz w:val="22"/>
      <w:szCs w:val="22"/>
      <w:lang w:val="en-GB"/>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line="276" w:lineRule="auto"/>
      <w:ind w:left="936" w:right="936"/>
    </w:pPr>
    <w:rPr>
      <w:b/>
      <w:bCs/>
      <w:i/>
      <w:iCs/>
      <w:color w:val="365A70" w:themeColor="accent1"/>
      <w:sz w:val="22"/>
      <w:szCs w:val="22"/>
      <w:lang w:val="en-GB"/>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rPr>
      <w:sz w:val="20"/>
      <w:szCs w:val="20"/>
      <w:lang w:val="en-GB"/>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ctoria.stodart@ifr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victoria.stodart\Dropbox\2013%20Haiyan%20Typhoon\12%20Media%20and%20Comms\00%20Templates\Shelter%20Cluster%20Philippines%20Word%20Template%20v%201%2002.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381A3-7FEF-466B-976A-85BF70AE2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Shelter Cluster Philippines Word Template v 1 02.dotx</Template>
  <TotalTime>75</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STODART</dc:creator>
  <cp:lastModifiedBy>Victoria STODART</cp:lastModifiedBy>
  <cp:revision>6</cp:revision>
  <cp:lastPrinted>2015-03-16T09:46:00Z</cp:lastPrinted>
  <dcterms:created xsi:type="dcterms:W3CDTF">2015-03-16T09:45:00Z</dcterms:created>
  <dcterms:modified xsi:type="dcterms:W3CDTF">2015-03-16T17:22:00Z</dcterms:modified>
</cp:coreProperties>
</file>