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7B8" w:rsidRDefault="00AD17B8" w:rsidP="00AD17B8">
      <w:pPr>
        <w:pStyle w:val="GeneralHeading1"/>
        <w:jc w:val="center"/>
        <w:rPr>
          <w:sz w:val="24"/>
        </w:rPr>
      </w:pPr>
      <w:r w:rsidRPr="00D76FED">
        <w:rPr>
          <w:sz w:val="24"/>
        </w:rPr>
        <w:t xml:space="preserve">Housing, Land and Property </w:t>
      </w:r>
      <w:r>
        <w:rPr>
          <w:sz w:val="24"/>
        </w:rPr>
        <w:t xml:space="preserve">Mapping Project </w:t>
      </w:r>
    </w:p>
    <w:p w:rsidR="00AD17B8" w:rsidRDefault="00AD17B8" w:rsidP="00AD17B8">
      <w:pPr>
        <w:pStyle w:val="GeneralHeading1"/>
        <w:jc w:val="center"/>
        <w:rPr>
          <w:sz w:val="24"/>
        </w:rPr>
      </w:pPr>
      <w:r>
        <w:rPr>
          <w:sz w:val="24"/>
        </w:rPr>
        <w:t>Philippines</w:t>
      </w:r>
    </w:p>
    <w:p w:rsidR="00AD17B8" w:rsidRDefault="00AD17B8" w:rsidP="00AD17B8"/>
    <w:p w:rsidR="00336DE0" w:rsidRPr="00066BB8" w:rsidRDefault="00336DE0" w:rsidP="00336DE0">
      <w:pPr>
        <w:rPr>
          <w:b/>
          <w:sz w:val="22"/>
          <w:szCs w:val="22"/>
        </w:rPr>
      </w:pPr>
      <w:r w:rsidRPr="00066BB8">
        <w:rPr>
          <w:b/>
          <w:sz w:val="22"/>
          <w:szCs w:val="22"/>
        </w:rPr>
        <w:t>Background</w:t>
      </w:r>
    </w:p>
    <w:p w:rsidR="00336DE0" w:rsidRDefault="00336DE0" w:rsidP="00336DE0">
      <w:r>
        <w:t>The following fact sheet and research memo have been developed to provide quick and key information of the legal and procedural context relating to H</w:t>
      </w:r>
      <w:r w:rsidR="008C52A6">
        <w:t xml:space="preserve">ousing, Land and Property (HLP) </w:t>
      </w:r>
      <w:r>
        <w:t>within the target country. They are intended to inform programming and emergency responses, especially those involving shelter interventions. A rapid understanding of the tenure landscape in each country context will assist in delivering stronger and more equitable responses.</w:t>
      </w:r>
    </w:p>
    <w:p w:rsidR="00336DE0" w:rsidRDefault="00336DE0" w:rsidP="00336DE0">
      <w:r>
        <w:t xml:space="preserve">The HLP mapping project has been undertaken by </w:t>
      </w:r>
      <w:proofErr w:type="spellStart"/>
      <w:proofErr w:type="gramStart"/>
      <w:r>
        <w:t>Allens</w:t>
      </w:r>
      <w:proofErr w:type="spellEnd"/>
      <w:proofErr w:type="gramEnd"/>
      <w:r>
        <w:t xml:space="preserve"> lawyers, using templates developed by the Australian Red Cross (ARC) and the International Federation of the Red Cross and Red Crescent Societies (IFRC</w:t>
      </w:r>
      <w:r w:rsidR="008C52A6">
        <w:t>). All of the research has gone</w:t>
      </w:r>
      <w:r w:rsidR="008C52A6" w:rsidRPr="008C52A6">
        <w:t xml:space="preserve"> through a verification process with in country lawyers and/or country expert</w:t>
      </w:r>
      <w:r w:rsidR="008C52A6">
        <w:t>s.</w:t>
      </w:r>
    </w:p>
    <w:p w:rsidR="00336DE0" w:rsidRDefault="00336DE0" w:rsidP="00336DE0"/>
    <w:p w:rsidR="00336DE0" w:rsidRPr="00066BB8" w:rsidRDefault="00336DE0" w:rsidP="00336DE0">
      <w:pPr>
        <w:rPr>
          <w:b/>
          <w:sz w:val="22"/>
          <w:szCs w:val="22"/>
        </w:rPr>
      </w:pPr>
      <w:r w:rsidRPr="00066BB8">
        <w:rPr>
          <w:b/>
          <w:sz w:val="22"/>
          <w:szCs w:val="22"/>
        </w:rPr>
        <w:t>Document Change Management</w:t>
      </w:r>
    </w:p>
    <w:p w:rsidR="00336DE0" w:rsidRDefault="00336DE0" w:rsidP="00336DE0">
      <w:r>
        <w:t>These documents are intended to be used and updated as necessary to ensure that they are always providing the most current and relevant information.  We would appreciate ongoing feedback and updates from those working in country, in response or preparedness.</w:t>
      </w:r>
    </w:p>
    <w:p w:rsidR="00336DE0" w:rsidRDefault="00336DE0" w:rsidP="00336DE0">
      <w:r>
        <w:t xml:space="preserve">If you would like to make any changes to the document, please submit to the document manager </w:t>
      </w:r>
      <w:r w:rsidR="00BC3F8D">
        <w:t xml:space="preserve">Leeanne Marshall </w:t>
      </w:r>
      <w:r>
        <w:t xml:space="preserve">via the below table. </w:t>
      </w:r>
    </w:p>
    <w:p w:rsidR="008C52A6" w:rsidRPr="00336DE0" w:rsidRDefault="008C52A6" w:rsidP="00336DE0"/>
    <w:tbl>
      <w:tblPr>
        <w:tblStyle w:val="TableGrid"/>
        <w:tblW w:w="5092" w:type="pct"/>
        <w:tblLayout w:type="fixed"/>
        <w:tblLook w:val="04A0" w:firstRow="1" w:lastRow="0" w:firstColumn="1" w:lastColumn="0" w:noHBand="0" w:noVBand="1"/>
      </w:tblPr>
      <w:tblGrid>
        <w:gridCol w:w="1668"/>
        <w:gridCol w:w="2671"/>
        <w:gridCol w:w="4410"/>
        <w:gridCol w:w="998"/>
      </w:tblGrid>
      <w:tr w:rsidR="00336DE0" w:rsidRPr="00436BEE" w:rsidTr="008C52A6">
        <w:trPr>
          <w:trHeight w:val="20"/>
        </w:trPr>
        <w:tc>
          <w:tcPr>
            <w:tcW w:w="856" w:type="pct"/>
          </w:tcPr>
          <w:p w:rsidR="00336DE0" w:rsidRPr="00066BB8" w:rsidRDefault="00336DE0" w:rsidP="00C373AC">
            <w:pPr>
              <w:rPr>
                <w:b/>
              </w:rPr>
            </w:pPr>
            <w:r w:rsidRPr="00066BB8">
              <w:rPr>
                <w:b/>
              </w:rPr>
              <w:t>Title</w:t>
            </w:r>
          </w:p>
        </w:tc>
        <w:tc>
          <w:tcPr>
            <w:tcW w:w="4144" w:type="pct"/>
            <w:gridSpan w:val="3"/>
          </w:tcPr>
          <w:p w:rsidR="00336DE0" w:rsidRPr="00066BB8" w:rsidRDefault="00336DE0" w:rsidP="0069123B">
            <w:r w:rsidRPr="00066BB8">
              <w:t xml:space="preserve">Philippines HLP </w:t>
            </w:r>
            <w:r w:rsidR="0069123B" w:rsidRPr="00066BB8">
              <w:t>Profile</w:t>
            </w:r>
          </w:p>
        </w:tc>
      </w:tr>
      <w:tr w:rsidR="00336DE0" w:rsidRPr="00436BEE" w:rsidTr="008C52A6">
        <w:trPr>
          <w:trHeight w:val="20"/>
        </w:trPr>
        <w:tc>
          <w:tcPr>
            <w:tcW w:w="856" w:type="pct"/>
          </w:tcPr>
          <w:p w:rsidR="00336DE0" w:rsidRPr="00066BB8" w:rsidRDefault="00336DE0" w:rsidP="00C373AC">
            <w:pPr>
              <w:rPr>
                <w:b/>
              </w:rPr>
            </w:pPr>
            <w:r w:rsidRPr="00066BB8">
              <w:rPr>
                <w:b/>
              </w:rPr>
              <w:t>Description</w:t>
            </w:r>
          </w:p>
        </w:tc>
        <w:tc>
          <w:tcPr>
            <w:tcW w:w="4144" w:type="pct"/>
            <w:gridSpan w:val="3"/>
          </w:tcPr>
          <w:p w:rsidR="00336DE0" w:rsidRPr="00066BB8" w:rsidRDefault="00336DE0" w:rsidP="00C373AC">
            <w:r w:rsidRPr="00066BB8">
              <w:t xml:space="preserve">Fact Sheet and </w:t>
            </w:r>
            <w:r w:rsidR="00BC3F8D" w:rsidRPr="00066BB8">
              <w:t xml:space="preserve">Research </w:t>
            </w:r>
            <w:r w:rsidRPr="00066BB8">
              <w:t>Memo</w:t>
            </w:r>
          </w:p>
        </w:tc>
      </w:tr>
      <w:tr w:rsidR="00336DE0" w:rsidRPr="00436BEE" w:rsidTr="008C52A6">
        <w:trPr>
          <w:trHeight w:val="20"/>
        </w:trPr>
        <w:tc>
          <w:tcPr>
            <w:tcW w:w="856" w:type="pct"/>
          </w:tcPr>
          <w:p w:rsidR="00336DE0" w:rsidRPr="00066BB8" w:rsidRDefault="00336DE0" w:rsidP="00C373AC">
            <w:pPr>
              <w:rPr>
                <w:b/>
              </w:rPr>
            </w:pPr>
            <w:r w:rsidRPr="00066BB8">
              <w:rPr>
                <w:b/>
              </w:rPr>
              <w:t>Created By</w:t>
            </w:r>
          </w:p>
        </w:tc>
        <w:tc>
          <w:tcPr>
            <w:tcW w:w="4144" w:type="pct"/>
            <w:gridSpan w:val="3"/>
          </w:tcPr>
          <w:p w:rsidR="00336DE0" w:rsidRPr="00066BB8" w:rsidRDefault="00336DE0" w:rsidP="00C373AC">
            <w:proofErr w:type="spellStart"/>
            <w:r w:rsidRPr="00066BB8">
              <w:t>Allens</w:t>
            </w:r>
            <w:proofErr w:type="spellEnd"/>
            <w:r w:rsidRPr="00066BB8">
              <w:t xml:space="preserve"> Lawyers, Australian Red Cross, IFRC</w:t>
            </w:r>
          </w:p>
        </w:tc>
      </w:tr>
      <w:tr w:rsidR="00336DE0" w:rsidRPr="00436BEE" w:rsidTr="008C52A6">
        <w:trPr>
          <w:trHeight w:val="20"/>
        </w:trPr>
        <w:tc>
          <w:tcPr>
            <w:tcW w:w="856" w:type="pct"/>
          </w:tcPr>
          <w:p w:rsidR="00336DE0" w:rsidRPr="00066BB8" w:rsidRDefault="00336DE0" w:rsidP="00C373AC">
            <w:pPr>
              <w:rPr>
                <w:b/>
              </w:rPr>
            </w:pPr>
            <w:r w:rsidRPr="00066BB8">
              <w:rPr>
                <w:b/>
              </w:rPr>
              <w:t>Date Created</w:t>
            </w:r>
          </w:p>
        </w:tc>
        <w:tc>
          <w:tcPr>
            <w:tcW w:w="4144" w:type="pct"/>
            <w:gridSpan w:val="3"/>
          </w:tcPr>
          <w:p w:rsidR="00336DE0" w:rsidRPr="00066BB8" w:rsidRDefault="00336DE0" w:rsidP="00C373AC">
            <w:r w:rsidRPr="00066BB8">
              <w:t>May 2018</w:t>
            </w:r>
          </w:p>
        </w:tc>
      </w:tr>
      <w:tr w:rsidR="00336DE0" w:rsidRPr="00436BEE" w:rsidTr="008C52A6">
        <w:trPr>
          <w:trHeight w:val="20"/>
        </w:trPr>
        <w:tc>
          <w:tcPr>
            <w:tcW w:w="856" w:type="pct"/>
          </w:tcPr>
          <w:p w:rsidR="00336DE0" w:rsidRPr="00066BB8" w:rsidRDefault="00336DE0" w:rsidP="00C373AC">
            <w:pPr>
              <w:rPr>
                <w:b/>
              </w:rPr>
            </w:pPr>
            <w:r w:rsidRPr="00066BB8">
              <w:rPr>
                <w:b/>
              </w:rPr>
              <w:t>Maintained by</w:t>
            </w:r>
          </w:p>
        </w:tc>
        <w:tc>
          <w:tcPr>
            <w:tcW w:w="4144" w:type="pct"/>
            <w:gridSpan w:val="3"/>
          </w:tcPr>
          <w:p w:rsidR="00336DE0" w:rsidRPr="00066BB8" w:rsidRDefault="00336DE0" w:rsidP="00C373AC">
            <w:r w:rsidRPr="00066BB8">
              <w:t xml:space="preserve">Leeanne Marshall </w:t>
            </w:r>
            <w:hyperlink r:id="rId9" w:history="1">
              <w:r w:rsidRPr="00066BB8">
                <w:rPr>
                  <w:rStyle w:val="Hyperlink"/>
                </w:rPr>
                <w:t>lemarshall@redcross.org.au</w:t>
              </w:r>
            </w:hyperlink>
            <w:r w:rsidRPr="00066BB8">
              <w:t xml:space="preserve">   </w:t>
            </w:r>
          </w:p>
        </w:tc>
      </w:tr>
      <w:tr w:rsidR="00336DE0" w:rsidRPr="00436BEE" w:rsidTr="008C52A6">
        <w:trPr>
          <w:trHeight w:val="20"/>
        </w:trPr>
        <w:tc>
          <w:tcPr>
            <w:tcW w:w="856" w:type="pct"/>
          </w:tcPr>
          <w:p w:rsidR="00336DE0" w:rsidRPr="00066BB8" w:rsidRDefault="00336DE0" w:rsidP="00C373AC">
            <w:pPr>
              <w:rPr>
                <w:b/>
              </w:rPr>
            </w:pPr>
            <w:r w:rsidRPr="00066BB8">
              <w:rPr>
                <w:b/>
              </w:rPr>
              <w:t>Date</w:t>
            </w:r>
          </w:p>
        </w:tc>
        <w:tc>
          <w:tcPr>
            <w:tcW w:w="1370" w:type="pct"/>
          </w:tcPr>
          <w:p w:rsidR="00336DE0" w:rsidRPr="00066BB8" w:rsidRDefault="00336DE0" w:rsidP="00C373AC">
            <w:pPr>
              <w:rPr>
                <w:b/>
              </w:rPr>
            </w:pPr>
            <w:r w:rsidRPr="00066BB8">
              <w:rPr>
                <w:b/>
              </w:rPr>
              <w:t>Submitted by</w:t>
            </w:r>
          </w:p>
          <w:p w:rsidR="00336DE0" w:rsidRPr="00066BB8" w:rsidRDefault="00336DE0" w:rsidP="00C373AC">
            <w:r w:rsidRPr="00066BB8">
              <w:t>(name, organisation, email)</w:t>
            </w:r>
          </w:p>
        </w:tc>
        <w:tc>
          <w:tcPr>
            <w:tcW w:w="2262" w:type="pct"/>
          </w:tcPr>
          <w:p w:rsidR="00336DE0" w:rsidRPr="00066BB8" w:rsidRDefault="00336DE0" w:rsidP="00C373AC">
            <w:pPr>
              <w:rPr>
                <w:b/>
              </w:rPr>
            </w:pPr>
            <w:r w:rsidRPr="00066BB8">
              <w:rPr>
                <w:b/>
              </w:rPr>
              <w:t>Suggested amendments</w:t>
            </w:r>
          </w:p>
          <w:p w:rsidR="00336DE0" w:rsidRPr="00066BB8" w:rsidRDefault="00336DE0" w:rsidP="008C52A6">
            <w:r w:rsidRPr="00066BB8">
              <w:t>(please indicate</w:t>
            </w:r>
            <w:r w:rsidR="008C52A6" w:rsidRPr="00066BB8">
              <w:t xml:space="preserve"> section, paragraph, page as needed)</w:t>
            </w:r>
          </w:p>
        </w:tc>
        <w:tc>
          <w:tcPr>
            <w:tcW w:w="512" w:type="pct"/>
          </w:tcPr>
          <w:p w:rsidR="00336DE0" w:rsidRPr="00066BB8" w:rsidRDefault="00336DE0" w:rsidP="00C373AC">
            <w:pPr>
              <w:rPr>
                <w:b/>
              </w:rPr>
            </w:pPr>
            <w:r w:rsidRPr="00066BB8">
              <w:rPr>
                <w:b/>
              </w:rPr>
              <w:t>Status</w:t>
            </w:r>
          </w:p>
        </w:tc>
      </w:tr>
      <w:tr w:rsidR="00336DE0" w:rsidRPr="00436BEE" w:rsidTr="008C52A6">
        <w:trPr>
          <w:trHeight w:val="20"/>
        </w:trPr>
        <w:tc>
          <w:tcPr>
            <w:tcW w:w="856" w:type="pct"/>
          </w:tcPr>
          <w:p w:rsidR="00336DE0" w:rsidRPr="00C13A23" w:rsidRDefault="00336DE0" w:rsidP="00C373AC"/>
        </w:tc>
        <w:tc>
          <w:tcPr>
            <w:tcW w:w="1370" w:type="pct"/>
          </w:tcPr>
          <w:p w:rsidR="00336DE0" w:rsidRPr="00F7163A" w:rsidRDefault="00336DE0" w:rsidP="00C373AC"/>
        </w:tc>
        <w:tc>
          <w:tcPr>
            <w:tcW w:w="2262" w:type="pct"/>
          </w:tcPr>
          <w:p w:rsidR="00336DE0" w:rsidRPr="00F7163A" w:rsidRDefault="00336DE0" w:rsidP="00C373AC"/>
        </w:tc>
        <w:tc>
          <w:tcPr>
            <w:tcW w:w="512" w:type="pct"/>
          </w:tcPr>
          <w:p w:rsidR="00336DE0" w:rsidRPr="00C13A23" w:rsidRDefault="00336DE0" w:rsidP="00C373AC"/>
        </w:tc>
      </w:tr>
      <w:tr w:rsidR="00336DE0" w:rsidRPr="00436BEE" w:rsidTr="008C52A6">
        <w:trPr>
          <w:trHeight w:val="20"/>
        </w:trPr>
        <w:tc>
          <w:tcPr>
            <w:tcW w:w="856" w:type="pct"/>
          </w:tcPr>
          <w:p w:rsidR="00336DE0" w:rsidRPr="00436BEE" w:rsidRDefault="00336DE0" w:rsidP="00C373AC"/>
        </w:tc>
        <w:tc>
          <w:tcPr>
            <w:tcW w:w="1370" w:type="pct"/>
          </w:tcPr>
          <w:p w:rsidR="00336DE0" w:rsidRPr="00436BEE" w:rsidRDefault="00336DE0" w:rsidP="00C373AC"/>
        </w:tc>
        <w:tc>
          <w:tcPr>
            <w:tcW w:w="2262" w:type="pct"/>
          </w:tcPr>
          <w:p w:rsidR="00336DE0" w:rsidRPr="00436BEE" w:rsidRDefault="00336DE0" w:rsidP="00C373AC"/>
        </w:tc>
        <w:tc>
          <w:tcPr>
            <w:tcW w:w="512" w:type="pct"/>
          </w:tcPr>
          <w:p w:rsidR="00336DE0" w:rsidRPr="00436BEE" w:rsidRDefault="00336DE0" w:rsidP="00C373AC"/>
        </w:tc>
      </w:tr>
      <w:tr w:rsidR="00336DE0" w:rsidRPr="00436BEE" w:rsidTr="008C52A6">
        <w:trPr>
          <w:trHeight w:val="20"/>
        </w:trPr>
        <w:tc>
          <w:tcPr>
            <w:tcW w:w="856" w:type="pct"/>
          </w:tcPr>
          <w:p w:rsidR="00336DE0" w:rsidRPr="00436BEE" w:rsidRDefault="00336DE0" w:rsidP="00C373AC"/>
        </w:tc>
        <w:tc>
          <w:tcPr>
            <w:tcW w:w="1370" w:type="pct"/>
          </w:tcPr>
          <w:p w:rsidR="00336DE0" w:rsidRPr="00436BEE" w:rsidRDefault="00336DE0" w:rsidP="00C373AC"/>
        </w:tc>
        <w:tc>
          <w:tcPr>
            <w:tcW w:w="2262" w:type="pct"/>
          </w:tcPr>
          <w:p w:rsidR="00336DE0" w:rsidRPr="00436BEE" w:rsidRDefault="00336DE0" w:rsidP="00C373AC"/>
        </w:tc>
        <w:tc>
          <w:tcPr>
            <w:tcW w:w="512" w:type="pct"/>
          </w:tcPr>
          <w:p w:rsidR="00336DE0" w:rsidRPr="00436BEE" w:rsidRDefault="00336DE0" w:rsidP="00C373AC"/>
        </w:tc>
      </w:tr>
      <w:tr w:rsidR="00336DE0" w:rsidRPr="00436BEE" w:rsidTr="008C52A6">
        <w:trPr>
          <w:trHeight w:val="20"/>
        </w:trPr>
        <w:tc>
          <w:tcPr>
            <w:tcW w:w="856" w:type="pct"/>
          </w:tcPr>
          <w:p w:rsidR="00336DE0" w:rsidRPr="00436BEE" w:rsidRDefault="00336DE0" w:rsidP="00C373AC"/>
        </w:tc>
        <w:tc>
          <w:tcPr>
            <w:tcW w:w="1370" w:type="pct"/>
          </w:tcPr>
          <w:p w:rsidR="00336DE0" w:rsidRPr="00436BEE" w:rsidRDefault="00336DE0" w:rsidP="00C373AC"/>
        </w:tc>
        <w:tc>
          <w:tcPr>
            <w:tcW w:w="2262" w:type="pct"/>
          </w:tcPr>
          <w:p w:rsidR="00336DE0" w:rsidRPr="00436BEE" w:rsidRDefault="00336DE0" w:rsidP="00C373AC"/>
        </w:tc>
        <w:tc>
          <w:tcPr>
            <w:tcW w:w="512" w:type="pct"/>
          </w:tcPr>
          <w:p w:rsidR="00336DE0" w:rsidRPr="00436BEE" w:rsidRDefault="00336DE0" w:rsidP="00C373AC"/>
        </w:tc>
      </w:tr>
      <w:tr w:rsidR="00336DE0" w:rsidRPr="00436BEE" w:rsidTr="008C52A6">
        <w:trPr>
          <w:trHeight w:val="20"/>
        </w:trPr>
        <w:tc>
          <w:tcPr>
            <w:tcW w:w="856" w:type="pct"/>
          </w:tcPr>
          <w:p w:rsidR="00336DE0" w:rsidRPr="00436BEE" w:rsidRDefault="00336DE0" w:rsidP="00C373AC"/>
        </w:tc>
        <w:tc>
          <w:tcPr>
            <w:tcW w:w="1370" w:type="pct"/>
          </w:tcPr>
          <w:p w:rsidR="00336DE0" w:rsidRPr="00436BEE" w:rsidRDefault="00336DE0" w:rsidP="00C373AC"/>
        </w:tc>
        <w:tc>
          <w:tcPr>
            <w:tcW w:w="2262" w:type="pct"/>
          </w:tcPr>
          <w:p w:rsidR="00336DE0" w:rsidRPr="00436BEE" w:rsidRDefault="00336DE0" w:rsidP="00C373AC"/>
        </w:tc>
        <w:tc>
          <w:tcPr>
            <w:tcW w:w="512" w:type="pct"/>
          </w:tcPr>
          <w:p w:rsidR="00336DE0" w:rsidRPr="00436BEE" w:rsidRDefault="00336DE0" w:rsidP="00C373AC"/>
        </w:tc>
      </w:tr>
      <w:tr w:rsidR="00336DE0" w:rsidRPr="00436BEE" w:rsidTr="008C52A6">
        <w:trPr>
          <w:trHeight w:val="20"/>
        </w:trPr>
        <w:tc>
          <w:tcPr>
            <w:tcW w:w="856" w:type="pct"/>
          </w:tcPr>
          <w:p w:rsidR="00336DE0" w:rsidRPr="00436BEE" w:rsidRDefault="00336DE0" w:rsidP="00C373AC"/>
        </w:tc>
        <w:tc>
          <w:tcPr>
            <w:tcW w:w="1370" w:type="pct"/>
          </w:tcPr>
          <w:p w:rsidR="00336DE0" w:rsidRPr="00436BEE" w:rsidRDefault="00336DE0" w:rsidP="00C373AC"/>
        </w:tc>
        <w:tc>
          <w:tcPr>
            <w:tcW w:w="2262" w:type="pct"/>
          </w:tcPr>
          <w:p w:rsidR="00336DE0" w:rsidRPr="00436BEE" w:rsidRDefault="00336DE0" w:rsidP="00C373AC"/>
        </w:tc>
        <w:tc>
          <w:tcPr>
            <w:tcW w:w="512" w:type="pct"/>
          </w:tcPr>
          <w:p w:rsidR="00336DE0" w:rsidRPr="00436BEE" w:rsidRDefault="00336DE0" w:rsidP="00C373AC"/>
        </w:tc>
      </w:tr>
      <w:tr w:rsidR="00336DE0" w:rsidRPr="00436BEE" w:rsidTr="008C52A6">
        <w:trPr>
          <w:trHeight w:val="20"/>
        </w:trPr>
        <w:tc>
          <w:tcPr>
            <w:tcW w:w="856" w:type="pct"/>
          </w:tcPr>
          <w:p w:rsidR="00336DE0" w:rsidRPr="00436BEE" w:rsidRDefault="00336DE0" w:rsidP="00C373AC"/>
        </w:tc>
        <w:tc>
          <w:tcPr>
            <w:tcW w:w="1370" w:type="pct"/>
          </w:tcPr>
          <w:p w:rsidR="00336DE0" w:rsidRPr="00436BEE" w:rsidRDefault="00336DE0" w:rsidP="00C373AC"/>
        </w:tc>
        <w:tc>
          <w:tcPr>
            <w:tcW w:w="2262" w:type="pct"/>
          </w:tcPr>
          <w:p w:rsidR="00336DE0" w:rsidRPr="00436BEE" w:rsidRDefault="00336DE0" w:rsidP="00C373AC"/>
        </w:tc>
        <w:tc>
          <w:tcPr>
            <w:tcW w:w="512" w:type="pct"/>
          </w:tcPr>
          <w:p w:rsidR="00336DE0" w:rsidRPr="00436BEE" w:rsidRDefault="00336DE0" w:rsidP="00C373AC"/>
        </w:tc>
      </w:tr>
    </w:tbl>
    <w:p w:rsidR="00AD17B8" w:rsidRDefault="00AD17B8" w:rsidP="00336DE0">
      <w:pPr>
        <w:pStyle w:val="GeneralHeading1"/>
        <w:rPr>
          <w:sz w:val="24"/>
        </w:rPr>
      </w:pPr>
    </w:p>
    <w:p w:rsidR="00336DE0" w:rsidRDefault="00336DE0">
      <w:pPr>
        <w:spacing w:before="0" w:after="200" w:line="276" w:lineRule="auto"/>
        <w:rPr>
          <w:b/>
          <w:sz w:val="24"/>
        </w:rPr>
      </w:pPr>
      <w:r>
        <w:rPr>
          <w:sz w:val="24"/>
        </w:rPr>
        <w:br w:type="page"/>
      </w:r>
    </w:p>
    <w:p w:rsidR="004D0FFA" w:rsidRPr="00D76FED" w:rsidRDefault="004D0FFA" w:rsidP="00336DE0">
      <w:pPr>
        <w:pStyle w:val="GeneralHeading1"/>
        <w:jc w:val="center"/>
        <w:rPr>
          <w:sz w:val="24"/>
        </w:rPr>
      </w:pPr>
      <w:r w:rsidRPr="00D76FED">
        <w:rPr>
          <w:sz w:val="24"/>
        </w:rPr>
        <w:lastRenderedPageBreak/>
        <w:t xml:space="preserve">Housing, Land and Property Law in </w:t>
      </w:r>
      <w:r>
        <w:rPr>
          <w:sz w:val="24"/>
        </w:rPr>
        <w:t>the Philippines</w:t>
      </w:r>
    </w:p>
    <w:p w:rsidR="004D0FFA" w:rsidRPr="00EE762A" w:rsidRDefault="00EE762A" w:rsidP="00EE762A">
      <w:pPr>
        <w:rPr>
          <w:b/>
        </w:rPr>
      </w:pPr>
      <w:r w:rsidRPr="00EE762A">
        <w:rPr>
          <w:b/>
        </w:rPr>
        <w:t>1</w:t>
      </w:r>
      <w:r w:rsidRPr="00EE762A">
        <w:rPr>
          <w:b/>
        </w:rPr>
        <w:tab/>
      </w:r>
      <w:r w:rsidR="004D0FFA" w:rsidRPr="00066BB8">
        <w:rPr>
          <w:b/>
          <w:sz w:val="22"/>
          <w:szCs w:val="22"/>
        </w:rPr>
        <w:t>Key laws and actors</w:t>
      </w:r>
    </w:p>
    <w:tbl>
      <w:tblPr>
        <w:tblStyle w:val="TableGrid"/>
        <w:tblW w:w="9923" w:type="dxa"/>
        <w:tblInd w:w="-176" w:type="dxa"/>
        <w:tblLook w:val="04A0" w:firstRow="1" w:lastRow="0" w:firstColumn="1" w:lastColumn="0" w:noHBand="0" w:noVBand="1"/>
      </w:tblPr>
      <w:tblGrid>
        <w:gridCol w:w="1418"/>
        <w:gridCol w:w="8505"/>
      </w:tblGrid>
      <w:tr w:rsidR="004D0FFA" w:rsidRPr="007A1DA0" w:rsidTr="00DC4349">
        <w:tc>
          <w:tcPr>
            <w:tcW w:w="1418" w:type="dxa"/>
            <w:shd w:val="clear" w:color="auto" w:fill="auto"/>
          </w:tcPr>
          <w:p w:rsidR="004D0FFA" w:rsidRPr="00EE762A" w:rsidRDefault="006A113A" w:rsidP="00EE762A">
            <w:hyperlink w:anchor="Laws" w:history="1">
              <w:r w:rsidR="004D0FFA" w:rsidRPr="005914AD">
                <w:rPr>
                  <w:rStyle w:val="Hyperlink"/>
                </w:rPr>
                <w:t>Laws</w:t>
              </w:r>
            </w:hyperlink>
          </w:p>
        </w:tc>
        <w:tc>
          <w:tcPr>
            <w:tcW w:w="8505" w:type="dxa"/>
          </w:tcPr>
          <w:p w:rsidR="004D0FFA" w:rsidRPr="004C5EF5" w:rsidRDefault="004D0FFA" w:rsidP="00DC4349">
            <w:r w:rsidRPr="00A921DA">
              <w:t>The main laws governing</w:t>
            </w:r>
            <w:r>
              <w:t xml:space="preserve"> land and housing are the </w:t>
            </w:r>
            <w:hyperlink r:id="rId10" w:history="1">
              <w:r w:rsidRPr="00EE762A">
                <w:rPr>
                  <w:rStyle w:val="Hyperlink"/>
                </w:rPr>
                <w:t>Constitution</w:t>
              </w:r>
            </w:hyperlink>
            <w:r>
              <w:t xml:space="preserve">, the </w:t>
            </w:r>
            <w:hyperlink r:id="rId11" w:history="1">
              <w:r w:rsidRPr="00EE762A">
                <w:rPr>
                  <w:rStyle w:val="Hyperlink"/>
                </w:rPr>
                <w:t>Commonwealth Act No 141 of 1936</w:t>
              </w:r>
            </w:hyperlink>
            <w:r>
              <w:t xml:space="preserve">, the </w:t>
            </w:r>
            <w:hyperlink r:id="rId12" w:history="1">
              <w:r w:rsidRPr="00EE762A">
                <w:rPr>
                  <w:rStyle w:val="Hyperlink"/>
                </w:rPr>
                <w:t>Civil Code</w:t>
              </w:r>
            </w:hyperlink>
            <w:r w:rsidRPr="00D57F20">
              <w:t>, the</w:t>
            </w:r>
            <w:r>
              <w:t xml:space="preserve"> </w:t>
            </w:r>
            <w:hyperlink r:id="rId13" w:history="1">
              <w:r w:rsidRPr="00EE762A">
                <w:rPr>
                  <w:rStyle w:val="Hyperlink"/>
                  <w:rFonts w:eastAsiaTheme="minorHAnsi"/>
                </w:rPr>
                <w:t>Comprehensive Agrarian Reform Law of 1988</w:t>
              </w:r>
            </w:hyperlink>
            <w:r>
              <w:rPr>
                <w:rFonts w:eastAsiaTheme="minorHAnsi"/>
              </w:rPr>
              <w:t xml:space="preserve"> as amended by the </w:t>
            </w:r>
            <w:hyperlink r:id="rId14" w:history="1">
              <w:r w:rsidRPr="00EE762A">
                <w:rPr>
                  <w:rStyle w:val="Hyperlink"/>
                </w:rPr>
                <w:t>Comprehensive Agrarian Reform Program Extension with Reforms of 2009</w:t>
              </w:r>
            </w:hyperlink>
            <w:r>
              <w:rPr>
                <w:rFonts w:eastAsiaTheme="minorHAnsi"/>
              </w:rPr>
              <w:t xml:space="preserve"> </w:t>
            </w:r>
            <w:r>
              <w:t>(</w:t>
            </w:r>
            <w:r w:rsidRPr="005325BD">
              <w:rPr>
                <w:b/>
                <w:i/>
              </w:rPr>
              <w:t>CARPER</w:t>
            </w:r>
            <w:r>
              <w:t xml:space="preserve">), </w:t>
            </w:r>
            <w:hyperlink r:id="rId15" w:history="1">
              <w:r w:rsidRPr="00EE762A">
                <w:rPr>
                  <w:rStyle w:val="Hyperlink"/>
                </w:rPr>
                <w:t>Indigenous Peoples Rights Act of 1997</w:t>
              </w:r>
            </w:hyperlink>
            <w:r w:rsidRPr="005235E6">
              <w:t xml:space="preserve"> </w:t>
            </w:r>
            <w:r>
              <w:t>(</w:t>
            </w:r>
            <w:r w:rsidRPr="0016732E">
              <w:rPr>
                <w:b/>
                <w:i/>
              </w:rPr>
              <w:t>IPRA</w:t>
            </w:r>
            <w:r>
              <w:t xml:space="preserve">) and the </w:t>
            </w:r>
            <w:hyperlink r:id="rId16" w:history="1">
              <w:r w:rsidRPr="00EE762A">
                <w:rPr>
                  <w:rStyle w:val="Hyperlink"/>
                </w:rPr>
                <w:t>Urban Development and Housing Act of 1992</w:t>
              </w:r>
            </w:hyperlink>
            <w:r w:rsidRPr="005235E6">
              <w:t xml:space="preserve"> </w:t>
            </w:r>
            <w:r>
              <w:t>(</w:t>
            </w:r>
            <w:r>
              <w:rPr>
                <w:b/>
                <w:i/>
              </w:rPr>
              <w:t>UDHA</w:t>
            </w:r>
            <w:r>
              <w:t>).</w:t>
            </w:r>
          </w:p>
        </w:tc>
      </w:tr>
      <w:tr w:rsidR="004D0FFA" w:rsidRPr="007A1DA0" w:rsidTr="00DC4349">
        <w:tc>
          <w:tcPr>
            <w:tcW w:w="1418" w:type="dxa"/>
            <w:shd w:val="clear" w:color="auto" w:fill="auto"/>
          </w:tcPr>
          <w:p w:rsidR="004D0FFA" w:rsidRPr="00EE762A" w:rsidRDefault="006A113A" w:rsidP="00EE762A">
            <w:hyperlink w:anchor="KeyGov" w:history="1">
              <w:r w:rsidR="004D0FFA" w:rsidRPr="005914AD">
                <w:rPr>
                  <w:rStyle w:val="Hyperlink"/>
                </w:rPr>
                <w:t>Key government actors</w:t>
              </w:r>
            </w:hyperlink>
          </w:p>
        </w:tc>
        <w:tc>
          <w:tcPr>
            <w:tcW w:w="8505" w:type="dxa"/>
          </w:tcPr>
          <w:p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Department of Agrarian Reform (</w:t>
            </w:r>
            <w:r w:rsidRPr="00EE762A">
              <w:rPr>
                <w:rFonts w:ascii="Arial" w:hAnsi="Arial" w:cs="Arial"/>
                <w:b/>
                <w:i/>
                <w:sz w:val="20"/>
              </w:rPr>
              <w:t>DAR</w:t>
            </w:r>
            <w:r w:rsidRPr="00EE762A">
              <w:rPr>
                <w:rFonts w:ascii="Arial" w:hAnsi="Arial" w:cs="Arial"/>
                <w:sz w:val="20"/>
              </w:rPr>
              <w:t>)</w:t>
            </w:r>
          </w:p>
          <w:p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Department of Environment and Natural Resources (</w:t>
            </w:r>
            <w:r w:rsidRPr="00EE762A">
              <w:rPr>
                <w:rFonts w:ascii="Arial" w:hAnsi="Arial" w:cs="Arial"/>
                <w:b/>
                <w:i/>
                <w:sz w:val="20"/>
              </w:rPr>
              <w:t>DENR</w:t>
            </w:r>
            <w:r w:rsidRPr="00EE762A">
              <w:rPr>
                <w:rFonts w:ascii="Arial" w:hAnsi="Arial" w:cs="Arial"/>
                <w:sz w:val="20"/>
              </w:rPr>
              <w:t>)</w:t>
            </w:r>
          </w:p>
          <w:p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Land Registration Authority (</w:t>
            </w:r>
            <w:r w:rsidRPr="00EE762A">
              <w:rPr>
                <w:rFonts w:ascii="Arial" w:hAnsi="Arial" w:cs="Arial"/>
                <w:b/>
                <w:i/>
                <w:sz w:val="20"/>
              </w:rPr>
              <w:t>LRA</w:t>
            </w:r>
            <w:r w:rsidRPr="00EE762A">
              <w:rPr>
                <w:rFonts w:ascii="Arial" w:hAnsi="Arial" w:cs="Arial"/>
                <w:sz w:val="20"/>
              </w:rPr>
              <w:t>)</w:t>
            </w:r>
          </w:p>
          <w:p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National Commission on Indigenous Peoples (</w:t>
            </w:r>
            <w:r w:rsidRPr="00EE762A">
              <w:rPr>
                <w:rFonts w:ascii="Arial" w:hAnsi="Arial" w:cs="Arial"/>
                <w:b/>
                <w:i/>
                <w:sz w:val="20"/>
              </w:rPr>
              <w:t>NCIP</w:t>
            </w:r>
            <w:r w:rsidRPr="00EE762A">
              <w:rPr>
                <w:rFonts w:ascii="Arial" w:hAnsi="Arial" w:cs="Arial"/>
                <w:sz w:val="20"/>
              </w:rPr>
              <w:t>)</w:t>
            </w:r>
          </w:p>
          <w:p w:rsidR="004D0FFA" w:rsidRPr="00EE762A" w:rsidRDefault="004D0FFA" w:rsidP="004D0FFA">
            <w:pPr>
              <w:pStyle w:val="ListParagraph"/>
              <w:numPr>
                <w:ilvl w:val="0"/>
                <w:numId w:val="45"/>
              </w:numPr>
              <w:spacing w:before="100" w:after="0" w:line="288" w:lineRule="auto"/>
              <w:rPr>
                <w:rFonts w:ascii="Arial" w:hAnsi="Arial" w:cs="Arial"/>
                <w:sz w:val="20"/>
              </w:rPr>
            </w:pPr>
            <w:r w:rsidRPr="00EE762A">
              <w:rPr>
                <w:rFonts w:ascii="Arial" w:hAnsi="Arial" w:cs="Arial"/>
                <w:sz w:val="20"/>
              </w:rPr>
              <w:t>National Housing Authority (</w:t>
            </w:r>
            <w:r w:rsidRPr="00EE762A">
              <w:rPr>
                <w:rFonts w:ascii="Arial" w:hAnsi="Arial" w:cs="Arial"/>
                <w:b/>
                <w:i/>
                <w:sz w:val="20"/>
              </w:rPr>
              <w:t>NHA</w:t>
            </w:r>
            <w:r w:rsidRPr="00EE762A">
              <w:rPr>
                <w:rFonts w:ascii="Arial" w:hAnsi="Arial" w:cs="Arial"/>
                <w:sz w:val="20"/>
              </w:rPr>
              <w:t>)</w:t>
            </w:r>
          </w:p>
          <w:p w:rsidR="004D0FFA" w:rsidRPr="007A1DA0" w:rsidRDefault="004D0FFA" w:rsidP="00DC4349">
            <w:r>
              <w:t xml:space="preserve">There is significant overlap in the mandate of the above key land agencies: all of the above issue original </w:t>
            </w:r>
            <w:proofErr w:type="gramStart"/>
            <w:r>
              <w:t>titles,</w:t>
            </w:r>
            <w:proofErr w:type="gramEnd"/>
            <w:r>
              <w:t xml:space="preserve"> review and approve survey plans and maintain land records.</w:t>
            </w:r>
          </w:p>
        </w:tc>
      </w:tr>
      <w:tr w:rsidR="004D0FFA" w:rsidRPr="007A1DA0" w:rsidTr="00DC4349">
        <w:tc>
          <w:tcPr>
            <w:tcW w:w="1418" w:type="dxa"/>
            <w:shd w:val="clear" w:color="auto" w:fill="auto"/>
          </w:tcPr>
          <w:p w:rsidR="004D0FFA" w:rsidRPr="00EE762A" w:rsidRDefault="006A113A" w:rsidP="00EE762A">
            <w:hyperlink w:anchor="ShelterCluster" w:history="1">
              <w:r w:rsidR="004D0FFA" w:rsidRPr="005914AD">
                <w:rPr>
                  <w:rStyle w:val="Hyperlink"/>
                </w:rPr>
                <w:t>Shelter cluster</w:t>
              </w:r>
            </w:hyperlink>
          </w:p>
        </w:tc>
        <w:tc>
          <w:tcPr>
            <w:tcW w:w="8505" w:type="dxa"/>
          </w:tcPr>
          <w:p w:rsidR="004D0FFA" w:rsidRPr="00A921DA" w:rsidRDefault="00C373AC" w:rsidP="00661862">
            <w:r>
              <w:rPr>
                <w:rFonts w:cs="Arial"/>
              </w:rPr>
              <w:t xml:space="preserve">The shelter cluster was first activated in the Philippines for Typhoon Durian in 2006. Since then, the shelter cluster has been activated 7 times, the most recent one being for Typhoon </w:t>
            </w:r>
            <w:proofErr w:type="spellStart"/>
            <w:r>
              <w:rPr>
                <w:rFonts w:cs="Arial"/>
              </w:rPr>
              <w:t>Haima</w:t>
            </w:r>
            <w:proofErr w:type="spellEnd"/>
            <w:r>
              <w:rPr>
                <w:rFonts w:cs="Arial"/>
              </w:rPr>
              <w:t xml:space="preserve"> in 2016. The 2013 activation of the cluster system in response to Typhoon </w:t>
            </w:r>
            <w:proofErr w:type="spellStart"/>
            <w:r>
              <w:rPr>
                <w:rFonts w:cs="Arial"/>
              </w:rPr>
              <w:t>Haiyan</w:t>
            </w:r>
            <w:proofErr w:type="spellEnd"/>
            <w:r>
              <w:rPr>
                <w:rFonts w:cs="Arial"/>
              </w:rPr>
              <w:t xml:space="preserve"> was the first L3 designation.</w:t>
            </w:r>
          </w:p>
        </w:tc>
      </w:tr>
    </w:tbl>
    <w:p w:rsidR="00EE762A" w:rsidRDefault="00EE762A" w:rsidP="00EE762A">
      <w:pPr>
        <w:rPr>
          <w:b/>
        </w:rPr>
      </w:pPr>
    </w:p>
    <w:p w:rsidR="004D0FFA" w:rsidRPr="005914AD" w:rsidRDefault="006A113A" w:rsidP="00EE762A">
      <w:pPr>
        <w:rPr>
          <w:b/>
        </w:rPr>
      </w:pPr>
      <w:hyperlink w:anchor="CommonTenure" w:history="1">
        <w:r w:rsidR="00EE762A" w:rsidRPr="005914AD">
          <w:rPr>
            <w:rStyle w:val="Hyperlink"/>
            <w:b/>
            <w:color w:val="auto"/>
            <w:u w:val="none"/>
          </w:rPr>
          <w:t>2</w:t>
        </w:r>
        <w:r w:rsidR="00EE762A" w:rsidRPr="005914AD">
          <w:rPr>
            <w:rStyle w:val="Hyperlink"/>
            <w:b/>
            <w:color w:val="auto"/>
            <w:u w:val="none"/>
          </w:rPr>
          <w:tab/>
        </w:r>
        <w:r w:rsidR="004D0FFA" w:rsidRPr="00066BB8">
          <w:rPr>
            <w:rStyle w:val="Hyperlink"/>
            <w:b/>
            <w:color w:val="auto"/>
            <w:sz w:val="22"/>
            <w:szCs w:val="22"/>
            <w:u w:val="none"/>
          </w:rPr>
          <w:t>Common types of tenure</w:t>
        </w:r>
      </w:hyperlink>
    </w:p>
    <w:tbl>
      <w:tblPr>
        <w:tblStyle w:val="TableGrid1"/>
        <w:tblW w:w="9923" w:type="dxa"/>
        <w:tblInd w:w="-176" w:type="dxa"/>
        <w:tblLayout w:type="fixed"/>
        <w:tblLook w:val="04A0" w:firstRow="1" w:lastRow="0" w:firstColumn="1" w:lastColumn="0" w:noHBand="0" w:noVBand="1"/>
      </w:tblPr>
      <w:tblGrid>
        <w:gridCol w:w="1418"/>
        <w:gridCol w:w="1276"/>
        <w:gridCol w:w="7229"/>
      </w:tblGrid>
      <w:tr w:rsidR="004D0FFA" w:rsidRPr="00C55E40" w:rsidTr="00DC4349">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rsidR="004D0FFA" w:rsidRPr="007A1DA0" w:rsidRDefault="004D0FFA" w:rsidP="00DC4349">
            <w:pPr>
              <w:spacing w:line="276" w:lineRule="auto"/>
              <w:rPr>
                <w:rFonts w:cs="Arial"/>
                <w:b/>
              </w:rPr>
            </w:pPr>
            <w:r w:rsidRPr="007A1DA0">
              <w:rPr>
                <w:rFonts w:cs="Arial"/>
                <w:b/>
              </w:rPr>
              <w:t>Tenure</w:t>
            </w:r>
            <w:r>
              <w:rPr>
                <w:rFonts w:cs="Arial"/>
                <w:b/>
              </w:rPr>
              <w:t xml:space="preserve"> / land type</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rsidR="004D0FFA" w:rsidRPr="007A1DA0" w:rsidRDefault="004D0FFA" w:rsidP="00DC4349">
            <w:pPr>
              <w:spacing w:line="276" w:lineRule="auto"/>
              <w:rPr>
                <w:b/>
              </w:rPr>
            </w:pPr>
            <w:r w:rsidRPr="007A1DA0">
              <w:rPr>
                <w:b/>
              </w:rPr>
              <w:t>Comm</w:t>
            </w:r>
            <w:r>
              <w:rPr>
                <w:b/>
              </w:rPr>
              <w:t>o</w:t>
            </w:r>
            <w:r w:rsidRPr="007A1DA0">
              <w:rPr>
                <w:b/>
              </w:rPr>
              <w:t>nly Registered</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rsidR="004D0FFA" w:rsidRPr="00080278" w:rsidRDefault="004D0FFA" w:rsidP="00DC4349">
            <w:pPr>
              <w:spacing w:line="276" w:lineRule="auto"/>
              <w:rPr>
                <w:rFonts w:cs="Arial"/>
                <w:b/>
              </w:rPr>
            </w:pPr>
            <w:r>
              <w:rPr>
                <w:b/>
              </w:rPr>
              <w:t>Description</w:t>
            </w:r>
          </w:p>
        </w:tc>
      </w:tr>
      <w:tr w:rsidR="004D0FFA" w:rsidRPr="00C55E40" w:rsidTr="00DC4349">
        <w:tc>
          <w:tcPr>
            <w:tcW w:w="1418" w:type="dxa"/>
            <w:tcBorders>
              <w:top w:val="single" w:sz="4" w:space="0" w:color="FFFFFF" w:themeColor="background1"/>
            </w:tcBorders>
            <w:shd w:val="clear" w:color="auto" w:fill="auto"/>
          </w:tcPr>
          <w:p w:rsidR="004D0FFA" w:rsidRPr="00EE762A" w:rsidRDefault="006A113A" w:rsidP="00EE762A">
            <w:hyperlink w:anchor="PrivateOwner" w:history="1">
              <w:r w:rsidR="004D0FFA" w:rsidRPr="005914AD">
                <w:rPr>
                  <w:rStyle w:val="Hyperlink"/>
                </w:rPr>
                <w:t>Private ownership of alienable and disposable land</w:t>
              </w:r>
            </w:hyperlink>
          </w:p>
        </w:tc>
        <w:tc>
          <w:tcPr>
            <w:tcW w:w="1276" w:type="dxa"/>
            <w:tcBorders>
              <w:top w:val="single" w:sz="4" w:space="0" w:color="FFFFFF" w:themeColor="background1"/>
            </w:tcBorders>
            <w:shd w:val="clear" w:color="auto" w:fill="auto"/>
          </w:tcPr>
          <w:p w:rsidR="004D0FFA" w:rsidRPr="00BF65CD" w:rsidRDefault="004D0FFA" w:rsidP="00DC4349">
            <w:pPr>
              <w:spacing w:line="276" w:lineRule="auto"/>
              <w:rPr>
                <w:rFonts w:cs="Arial"/>
              </w:rPr>
            </w:pPr>
            <w:r w:rsidRPr="00BF65CD">
              <w:rPr>
                <w:rFonts w:cs="Arial"/>
              </w:rPr>
              <w:t>Yes</w:t>
            </w:r>
          </w:p>
        </w:tc>
        <w:tc>
          <w:tcPr>
            <w:tcW w:w="7229" w:type="dxa"/>
            <w:tcBorders>
              <w:top w:val="single" w:sz="4" w:space="0" w:color="FFFFFF" w:themeColor="background1"/>
            </w:tcBorders>
            <w:shd w:val="clear" w:color="auto" w:fill="auto"/>
          </w:tcPr>
          <w:p w:rsidR="004D0FFA" w:rsidRPr="007A1DA0" w:rsidRDefault="004D0FFA" w:rsidP="00DC4349">
            <w:pPr>
              <w:spacing w:line="276" w:lineRule="auto"/>
              <w:rPr>
                <w:rFonts w:cs="Arial"/>
              </w:rPr>
            </w:pPr>
            <w:r>
              <w:rPr>
                <w:rFonts w:cs="Arial"/>
              </w:rPr>
              <w:t>The term 'alienable and disposable land' refers to land which is capable of being privately owned. This type of land can be owned individually or collectively, and may be evidenced by: (1) a Certificate of Title issued under the Civil Code; (2) Emancipation Patents issued under Presidential Decrees No 27 and 266; or (3) Certificates of Land Ownership Awards issued under CARPER.</w:t>
            </w:r>
          </w:p>
        </w:tc>
      </w:tr>
      <w:tr w:rsidR="004D0FFA" w:rsidRPr="00C55E40" w:rsidTr="00DC4349">
        <w:tc>
          <w:tcPr>
            <w:tcW w:w="1418" w:type="dxa"/>
            <w:tcBorders>
              <w:top w:val="single" w:sz="4" w:space="0" w:color="FFFFFF" w:themeColor="background1"/>
            </w:tcBorders>
            <w:shd w:val="clear" w:color="auto" w:fill="auto"/>
          </w:tcPr>
          <w:p w:rsidR="004D0FFA" w:rsidRPr="00EE762A" w:rsidRDefault="006A113A" w:rsidP="00EE762A">
            <w:hyperlink w:anchor="PrivateOwner" w:history="1">
              <w:r w:rsidR="004D0FFA" w:rsidRPr="005914AD">
                <w:rPr>
                  <w:rStyle w:val="Hyperlink"/>
                </w:rPr>
                <w:t>Ownership of ancestral domain and ancestral land</w:t>
              </w:r>
            </w:hyperlink>
          </w:p>
        </w:tc>
        <w:tc>
          <w:tcPr>
            <w:tcW w:w="1276" w:type="dxa"/>
            <w:tcBorders>
              <w:top w:val="single" w:sz="4" w:space="0" w:color="FFFFFF" w:themeColor="background1"/>
            </w:tcBorders>
            <w:shd w:val="clear" w:color="auto" w:fill="auto"/>
          </w:tcPr>
          <w:p w:rsidR="004D0FFA" w:rsidRPr="00BF65CD" w:rsidRDefault="004D0FFA" w:rsidP="00DC4349">
            <w:pPr>
              <w:spacing w:line="276" w:lineRule="auto"/>
              <w:rPr>
                <w:rFonts w:cs="Arial"/>
              </w:rPr>
            </w:pPr>
            <w:r>
              <w:rPr>
                <w:rFonts w:cs="Arial"/>
              </w:rPr>
              <w:t>No</w:t>
            </w:r>
          </w:p>
        </w:tc>
        <w:tc>
          <w:tcPr>
            <w:tcW w:w="7229" w:type="dxa"/>
            <w:tcBorders>
              <w:top w:val="single" w:sz="4" w:space="0" w:color="FFFFFF" w:themeColor="background1"/>
            </w:tcBorders>
            <w:shd w:val="clear" w:color="auto" w:fill="auto"/>
          </w:tcPr>
          <w:p w:rsidR="004D0FFA" w:rsidRPr="00080278" w:rsidRDefault="004D0FFA" w:rsidP="00DC4349">
            <w:pPr>
              <w:spacing w:line="276" w:lineRule="auto"/>
            </w:pPr>
            <w:r>
              <w:t>The terms 'ancestral domain' and 'ancestral land' refer to environments and land respectively belonging to the Indigenous people of the Philippines (</w:t>
            </w:r>
            <w:r w:rsidRPr="00EA04D0">
              <w:rPr>
                <w:b/>
                <w:i/>
              </w:rPr>
              <w:t>IPs</w:t>
            </w:r>
            <w:r>
              <w:t>) or the Indigenous Cultural Communities (</w:t>
            </w:r>
            <w:r w:rsidRPr="00EA04D0">
              <w:rPr>
                <w:b/>
                <w:i/>
              </w:rPr>
              <w:t>ICCs</w:t>
            </w:r>
            <w:r>
              <w:t>). Although it is possible to register ownership of ancestral domain and ancestral land, this is generally uncommon. Under the IPRA, ownership of ancestral domain and ancestral lands may be recorded in a C</w:t>
            </w:r>
            <w:r w:rsidRPr="00BF65CD">
              <w:rPr>
                <w:rFonts w:cs="Arial"/>
              </w:rPr>
              <w:t xml:space="preserve">ertificate of </w:t>
            </w:r>
            <w:r>
              <w:rPr>
                <w:rFonts w:cs="Arial"/>
              </w:rPr>
              <w:t>A</w:t>
            </w:r>
            <w:r w:rsidRPr="00BF65CD">
              <w:rPr>
                <w:rFonts w:cs="Arial"/>
              </w:rPr>
              <w:t xml:space="preserve">ncestral </w:t>
            </w:r>
            <w:r>
              <w:rPr>
                <w:rFonts w:cs="Arial"/>
              </w:rPr>
              <w:t>D</w:t>
            </w:r>
            <w:r w:rsidRPr="00BF65CD">
              <w:rPr>
                <w:rFonts w:cs="Arial"/>
              </w:rPr>
              <w:t xml:space="preserve">omain </w:t>
            </w:r>
            <w:r>
              <w:rPr>
                <w:rFonts w:cs="Arial"/>
              </w:rPr>
              <w:t>T</w:t>
            </w:r>
            <w:r w:rsidRPr="00BF65CD">
              <w:rPr>
                <w:rFonts w:cs="Arial"/>
              </w:rPr>
              <w:t>itle</w:t>
            </w:r>
            <w:r>
              <w:rPr>
                <w:rFonts w:cs="Arial"/>
              </w:rPr>
              <w:t xml:space="preserve"> or </w:t>
            </w:r>
            <w:r w:rsidRPr="00BF65CD">
              <w:rPr>
                <w:rFonts w:cs="Arial"/>
              </w:rPr>
              <w:t>(</w:t>
            </w:r>
            <w:r w:rsidRPr="00BF65CD">
              <w:rPr>
                <w:rFonts w:cs="Arial"/>
                <w:b/>
                <w:i/>
              </w:rPr>
              <w:t>CA</w:t>
            </w:r>
            <w:r>
              <w:rPr>
                <w:rFonts w:cs="Arial"/>
                <w:b/>
                <w:i/>
              </w:rPr>
              <w:t>DT</w:t>
            </w:r>
            <w:r>
              <w:rPr>
                <w:rFonts w:cs="Arial"/>
              </w:rPr>
              <w:t>) or C</w:t>
            </w:r>
            <w:r w:rsidRPr="00BF65CD">
              <w:rPr>
                <w:rFonts w:cs="Arial"/>
              </w:rPr>
              <w:t xml:space="preserve">ertificate of </w:t>
            </w:r>
            <w:r>
              <w:rPr>
                <w:rFonts w:cs="Arial"/>
              </w:rPr>
              <w:t>Ancestral L</w:t>
            </w:r>
            <w:r w:rsidRPr="00BF65CD">
              <w:rPr>
                <w:rFonts w:cs="Arial"/>
              </w:rPr>
              <w:t xml:space="preserve">and </w:t>
            </w:r>
            <w:r>
              <w:rPr>
                <w:rFonts w:cs="Arial"/>
              </w:rPr>
              <w:t>T</w:t>
            </w:r>
            <w:r w:rsidRPr="00BF65CD">
              <w:rPr>
                <w:rFonts w:cs="Arial"/>
              </w:rPr>
              <w:t>itle (</w:t>
            </w:r>
            <w:r>
              <w:rPr>
                <w:rFonts w:cs="Arial"/>
                <w:b/>
                <w:i/>
              </w:rPr>
              <w:t>CALT</w:t>
            </w:r>
            <w:r w:rsidRPr="00BF65CD">
              <w:rPr>
                <w:rFonts w:cs="Arial"/>
              </w:rPr>
              <w:t>)</w:t>
            </w:r>
            <w:r>
              <w:rPr>
                <w:rFonts w:cs="Arial"/>
              </w:rPr>
              <w:t>.</w:t>
            </w:r>
          </w:p>
        </w:tc>
      </w:tr>
      <w:tr w:rsidR="004D0FFA" w:rsidRPr="00C55E40" w:rsidTr="00DC4349">
        <w:tc>
          <w:tcPr>
            <w:tcW w:w="1418" w:type="dxa"/>
            <w:tcBorders>
              <w:top w:val="single" w:sz="4" w:space="0" w:color="FFFFFF" w:themeColor="background1"/>
              <w:bottom w:val="single" w:sz="4" w:space="0" w:color="auto"/>
            </w:tcBorders>
            <w:shd w:val="clear" w:color="auto" w:fill="auto"/>
          </w:tcPr>
          <w:p w:rsidR="004D0FFA" w:rsidRPr="00EE762A" w:rsidRDefault="006A113A" w:rsidP="00EE762A">
            <w:hyperlink w:anchor="Informal" w:history="1">
              <w:r w:rsidR="004D0FFA" w:rsidRPr="005914AD">
                <w:rPr>
                  <w:rStyle w:val="Hyperlink"/>
                </w:rPr>
                <w:t>Informal occupation of land</w:t>
              </w:r>
            </w:hyperlink>
          </w:p>
        </w:tc>
        <w:tc>
          <w:tcPr>
            <w:tcW w:w="1276" w:type="dxa"/>
            <w:tcBorders>
              <w:top w:val="single" w:sz="4" w:space="0" w:color="FFFFFF" w:themeColor="background1"/>
              <w:bottom w:val="single" w:sz="4" w:space="0" w:color="auto"/>
            </w:tcBorders>
            <w:shd w:val="clear" w:color="auto" w:fill="auto"/>
          </w:tcPr>
          <w:p w:rsidR="004D0FFA" w:rsidRPr="00BF65CD" w:rsidRDefault="004D0FFA" w:rsidP="00DC4349">
            <w:pPr>
              <w:spacing w:line="276" w:lineRule="auto"/>
              <w:rPr>
                <w:rFonts w:cs="Arial"/>
              </w:rPr>
            </w:pPr>
            <w:r>
              <w:rPr>
                <w:rFonts w:cs="Arial"/>
              </w:rPr>
              <w:t>No</w:t>
            </w:r>
          </w:p>
        </w:tc>
        <w:tc>
          <w:tcPr>
            <w:tcW w:w="7229" w:type="dxa"/>
            <w:tcBorders>
              <w:top w:val="single" w:sz="4" w:space="0" w:color="FFFFFF" w:themeColor="background1"/>
              <w:bottom w:val="single" w:sz="4" w:space="0" w:color="auto"/>
            </w:tcBorders>
            <w:shd w:val="clear" w:color="auto" w:fill="auto"/>
          </w:tcPr>
          <w:p w:rsidR="004D0FFA" w:rsidRDefault="004D0FFA" w:rsidP="00DC4349">
            <w:pPr>
              <w:spacing w:line="276" w:lineRule="auto"/>
              <w:rPr>
                <w:rFonts w:cs="Arial"/>
              </w:rPr>
            </w:pPr>
            <w:r>
              <w:rPr>
                <w:rFonts w:cs="Arial"/>
              </w:rPr>
              <w:t>A</w:t>
            </w:r>
            <w:r w:rsidRPr="00BF65CD">
              <w:rPr>
                <w:rFonts w:cs="Arial"/>
              </w:rPr>
              <w:t xml:space="preserve"> large percentage of the urban population in the Philippines </w:t>
            </w:r>
            <w:r>
              <w:rPr>
                <w:rFonts w:cs="Arial"/>
              </w:rPr>
              <w:t>reside in informal settlements and lack formal legal rights to the land and housing which they occupy.</w:t>
            </w:r>
          </w:p>
          <w:p w:rsidR="004D0FFA" w:rsidRDefault="004D0FFA" w:rsidP="00DC4349">
            <w:pPr>
              <w:spacing w:line="276" w:lineRule="auto"/>
            </w:pPr>
            <w:r>
              <w:t>T</w:t>
            </w:r>
            <w:r w:rsidRPr="00BF65CD">
              <w:t>he UDHA</w:t>
            </w:r>
            <w:r>
              <w:t xml:space="preserve"> establishes a mechanism for formalising informal tenure: </w:t>
            </w:r>
            <w:r w:rsidRPr="00BF65CD">
              <w:t>the National Housing Authority</w:t>
            </w:r>
            <w:r>
              <w:t xml:space="preserve"> may grant a C</w:t>
            </w:r>
            <w:r w:rsidRPr="00BF65CD">
              <w:t xml:space="preserve">ertificate of </w:t>
            </w:r>
            <w:r>
              <w:t>A</w:t>
            </w:r>
            <w:r w:rsidRPr="00BF65CD">
              <w:t xml:space="preserve">ward to a </w:t>
            </w:r>
            <w:r>
              <w:t>resident of an informal settlement, which grants the recipient a right to occupy land and housing.</w:t>
            </w:r>
          </w:p>
          <w:p w:rsidR="004D0FFA" w:rsidRPr="00EA04D0" w:rsidRDefault="004D0FFA" w:rsidP="00DC4349">
            <w:pPr>
              <w:spacing w:line="276" w:lineRule="auto"/>
            </w:pPr>
            <w:r>
              <w:t>The recipient is required to make payments for the land and house over a 30-year period, following which they obtain full ownership (subject to a restriction on selling or transferring the land for another 10 years).</w:t>
            </w:r>
          </w:p>
        </w:tc>
      </w:tr>
      <w:tr w:rsidR="004D0FFA" w:rsidRPr="00C55E40" w:rsidTr="00DC4349">
        <w:tc>
          <w:tcPr>
            <w:tcW w:w="1418" w:type="dxa"/>
            <w:tcBorders>
              <w:top w:val="single" w:sz="4" w:space="0" w:color="auto"/>
              <w:left w:val="single" w:sz="4" w:space="0" w:color="auto"/>
              <w:bottom w:val="single" w:sz="4" w:space="0" w:color="auto"/>
              <w:right w:val="single" w:sz="4" w:space="0" w:color="auto"/>
            </w:tcBorders>
            <w:shd w:val="clear" w:color="auto" w:fill="auto"/>
          </w:tcPr>
          <w:p w:rsidR="004D0FFA" w:rsidRPr="00EE762A" w:rsidRDefault="006A113A" w:rsidP="00EE762A">
            <w:hyperlink w:anchor="UseRights" w:history="1">
              <w:r w:rsidR="004D0FFA" w:rsidRPr="005914AD">
                <w:rPr>
                  <w:rStyle w:val="Hyperlink"/>
                </w:rPr>
                <w:t>Use rights</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0FFA" w:rsidRPr="00BF65CD" w:rsidRDefault="004D0FFA" w:rsidP="00DC4349">
            <w:pPr>
              <w:spacing w:line="276" w:lineRule="auto"/>
              <w:rPr>
                <w:rFonts w:cs="Arial"/>
              </w:rPr>
            </w:pPr>
            <w:r w:rsidRPr="00BF65CD">
              <w:rPr>
                <w:rFonts w:cs="Arial"/>
              </w:rPr>
              <w:t>No</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4D0FFA" w:rsidRPr="007A1DA0" w:rsidRDefault="004D0FFA" w:rsidP="00DC4349">
            <w:pPr>
              <w:spacing w:line="276" w:lineRule="auto"/>
              <w:rPr>
                <w:rFonts w:cs="Arial"/>
              </w:rPr>
            </w:pPr>
            <w:r>
              <w:rPr>
                <w:rFonts w:cs="Arial"/>
              </w:rPr>
              <w:t xml:space="preserve">Timber and </w:t>
            </w:r>
            <w:r w:rsidRPr="00BF65CD">
              <w:rPr>
                <w:rFonts w:cs="Arial"/>
              </w:rPr>
              <w:t>mineral lands owned by the government can be subject to us</w:t>
            </w:r>
            <w:r>
              <w:rPr>
                <w:rFonts w:cs="Arial"/>
              </w:rPr>
              <w:t>e rights under certain conditions, such as licences or permits to enter onto land and harvest timber or other resources.</w:t>
            </w:r>
          </w:p>
        </w:tc>
      </w:tr>
    </w:tbl>
    <w:bookmarkStart w:id="0" w:name="_GoBack"/>
    <w:p w:rsidR="004D0FFA" w:rsidRPr="00066BB8" w:rsidRDefault="006A113A" w:rsidP="00EE762A">
      <w:pPr>
        <w:rPr>
          <w:b/>
          <w:sz w:val="22"/>
          <w:szCs w:val="22"/>
        </w:rPr>
      </w:pPr>
      <w:r w:rsidRPr="00066BB8">
        <w:rPr>
          <w:sz w:val="22"/>
          <w:szCs w:val="22"/>
        </w:rPr>
        <w:fldChar w:fldCharType="begin"/>
      </w:r>
      <w:r w:rsidRPr="00066BB8">
        <w:rPr>
          <w:sz w:val="22"/>
          <w:szCs w:val="22"/>
        </w:rPr>
        <w:instrText xml:space="preserve"> HYPERLINK \l "SecurityofTenure" </w:instrText>
      </w:r>
      <w:r w:rsidRPr="00066BB8">
        <w:rPr>
          <w:sz w:val="22"/>
          <w:szCs w:val="22"/>
        </w:rPr>
        <w:fldChar w:fldCharType="separate"/>
      </w:r>
      <w:r w:rsidR="00EE762A" w:rsidRPr="00066BB8">
        <w:rPr>
          <w:rStyle w:val="Hyperlink"/>
          <w:b/>
          <w:color w:val="auto"/>
          <w:sz w:val="22"/>
          <w:szCs w:val="22"/>
          <w:u w:val="none"/>
        </w:rPr>
        <w:t>3</w:t>
      </w:r>
      <w:r w:rsidR="00EE762A" w:rsidRPr="00066BB8">
        <w:rPr>
          <w:rStyle w:val="Hyperlink"/>
          <w:b/>
          <w:color w:val="auto"/>
          <w:sz w:val="22"/>
          <w:szCs w:val="22"/>
          <w:u w:val="none"/>
        </w:rPr>
        <w:tab/>
      </w:r>
      <w:r w:rsidR="004D0FFA" w:rsidRPr="00066BB8">
        <w:rPr>
          <w:rStyle w:val="Hyperlink"/>
          <w:b/>
          <w:color w:val="auto"/>
          <w:sz w:val="22"/>
          <w:szCs w:val="22"/>
          <w:u w:val="none"/>
        </w:rPr>
        <w:t>Security of tenure of vulnerable groups</w:t>
      </w:r>
      <w:r w:rsidRPr="00066BB8">
        <w:rPr>
          <w:rStyle w:val="Hyperlink"/>
          <w:b/>
          <w:color w:val="auto"/>
          <w:sz w:val="22"/>
          <w:szCs w:val="22"/>
          <w:u w:val="none"/>
        </w:rPr>
        <w:fldChar w:fldCharType="end"/>
      </w:r>
    </w:p>
    <w:tbl>
      <w:tblPr>
        <w:tblStyle w:val="TableGrid"/>
        <w:tblW w:w="9923" w:type="dxa"/>
        <w:tblInd w:w="-176" w:type="dxa"/>
        <w:tblLook w:val="04A0" w:firstRow="1" w:lastRow="0" w:firstColumn="1" w:lastColumn="0" w:noHBand="0" w:noVBand="1"/>
      </w:tblPr>
      <w:tblGrid>
        <w:gridCol w:w="1844"/>
        <w:gridCol w:w="8079"/>
      </w:tblGrid>
      <w:tr w:rsidR="004D0FFA" w:rsidTr="00DC4349">
        <w:tc>
          <w:tcPr>
            <w:tcW w:w="1844" w:type="dxa"/>
            <w:tcBorders>
              <w:top w:val="single" w:sz="4" w:space="0" w:color="auto"/>
              <w:left w:val="single" w:sz="4" w:space="0" w:color="auto"/>
              <w:bottom w:val="single" w:sz="4" w:space="0" w:color="auto"/>
              <w:right w:val="single" w:sz="4" w:space="0" w:color="auto"/>
            </w:tcBorders>
            <w:shd w:val="clear" w:color="auto" w:fill="auto"/>
          </w:tcPr>
          <w:bookmarkEnd w:id="0"/>
          <w:p w:rsidR="004D0FFA" w:rsidRPr="00EE762A" w:rsidRDefault="006A113A" w:rsidP="00EE762A">
            <w:r>
              <w:fldChar w:fldCharType="begin"/>
            </w:r>
            <w:r>
              <w:instrText xml:space="preserve"> HYPERLINK \l "Women" </w:instrText>
            </w:r>
            <w:r>
              <w:fldChar w:fldCharType="separate"/>
            </w:r>
            <w:r w:rsidR="004D0FFA" w:rsidRPr="005914AD">
              <w:rPr>
                <w:rStyle w:val="Hyperlink"/>
              </w:rPr>
              <w:t>Women</w:t>
            </w:r>
            <w:r>
              <w:rPr>
                <w:rStyle w:val="Hyperlink"/>
              </w:rPr>
              <w:fldChar w:fldCharType="end"/>
            </w:r>
          </w:p>
        </w:tc>
        <w:tc>
          <w:tcPr>
            <w:tcW w:w="8079" w:type="dxa"/>
            <w:tcBorders>
              <w:left w:val="single" w:sz="4" w:space="0" w:color="auto"/>
            </w:tcBorders>
          </w:tcPr>
          <w:p w:rsidR="004D0FFA" w:rsidRPr="006C6074" w:rsidRDefault="004D0FFA" w:rsidP="00DC4349">
            <w:pPr>
              <w:spacing w:line="276" w:lineRule="auto"/>
              <w:rPr>
                <w:rFonts w:cs="Arial"/>
                <w:iCs/>
              </w:rPr>
            </w:pPr>
            <w:r w:rsidRPr="00521EDC">
              <w:rPr>
                <w:rFonts w:cs="Arial"/>
                <w:iCs/>
              </w:rPr>
              <w:t xml:space="preserve">There are no formal restrictions on Filipino women </w:t>
            </w:r>
            <w:r>
              <w:rPr>
                <w:rFonts w:cs="Arial"/>
                <w:iCs/>
              </w:rPr>
              <w:t xml:space="preserve">owning, renting or inheriting land and housing. </w:t>
            </w:r>
            <w:r w:rsidRPr="00521EDC">
              <w:rPr>
                <w:rFonts w:cs="Arial"/>
                <w:iCs/>
              </w:rPr>
              <w:t xml:space="preserve">However, </w:t>
            </w:r>
            <w:r>
              <w:rPr>
                <w:rFonts w:cs="Arial"/>
                <w:iCs/>
              </w:rPr>
              <w:t xml:space="preserve">customary practices </w:t>
            </w:r>
            <w:r w:rsidRPr="00521EDC">
              <w:rPr>
                <w:rFonts w:cs="Arial"/>
                <w:iCs/>
              </w:rPr>
              <w:t>and trad</w:t>
            </w:r>
            <w:r>
              <w:rPr>
                <w:rFonts w:cs="Arial"/>
                <w:iCs/>
              </w:rPr>
              <w:t>itional patriarchal relations within</w:t>
            </w:r>
            <w:r w:rsidRPr="00521EDC">
              <w:rPr>
                <w:rFonts w:cs="Arial"/>
                <w:iCs/>
              </w:rPr>
              <w:t xml:space="preserve"> families and commun</w:t>
            </w:r>
            <w:r>
              <w:rPr>
                <w:rFonts w:cs="Arial"/>
                <w:iCs/>
              </w:rPr>
              <w:t>ities continue to inhibit women's access to land. Although studies on gender and land are intermittent and dated, those which do exist indicate that women are a lot less likely than men to have formal legal rights to land.</w:t>
            </w:r>
          </w:p>
        </w:tc>
      </w:tr>
      <w:tr w:rsidR="004D0FFA"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rsidR="004D0FFA" w:rsidRPr="00EE762A" w:rsidRDefault="006A113A" w:rsidP="00EE762A">
            <w:hyperlink w:anchor="Indigenous" w:history="1">
              <w:r w:rsidR="004D0FFA" w:rsidRPr="005914AD">
                <w:rPr>
                  <w:rStyle w:val="Hyperlink"/>
                </w:rPr>
                <w:t>Indigenous peoples</w:t>
              </w:r>
            </w:hyperlink>
          </w:p>
        </w:tc>
        <w:tc>
          <w:tcPr>
            <w:tcW w:w="8079" w:type="dxa"/>
            <w:tcBorders>
              <w:left w:val="single" w:sz="4" w:space="0" w:color="auto"/>
            </w:tcBorders>
          </w:tcPr>
          <w:p w:rsidR="004D0FFA" w:rsidRDefault="004D0FFA" w:rsidP="00DC4349">
            <w:pPr>
              <w:spacing w:line="276" w:lineRule="auto"/>
              <w:rPr>
                <w:rFonts w:cs="Arial"/>
                <w:iCs/>
              </w:rPr>
            </w:pPr>
            <w:r w:rsidRPr="00521EDC">
              <w:rPr>
                <w:rFonts w:cs="Arial"/>
                <w:iCs/>
              </w:rPr>
              <w:t xml:space="preserve">Indigenous customary ownership of land is legally recognised </w:t>
            </w:r>
            <w:r>
              <w:rPr>
                <w:rFonts w:cs="Arial"/>
                <w:iCs/>
              </w:rPr>
              <w:t xml:space="preserve">and protected </w:t>
            </w:r>
            <w:r w:rsidRPr="00521EDC">
              <w:rPr>
                <w:rFonts w:cs="Arial"/>
                <w:iCs/>
              </w:rPr>
              <w:t>under the IPRA</w:t>
            </w:r>
            <w:r>
              <w:rPr>
                <w:rFonts w:cs="Arial"/>
                <w:iCs/>
              </w:rPr>
              <w:t>, which permits ownership of ancestral domain and ancestral lands to be registered, and establishes penalties for persons who unlawfully intrude upon, or use, ancestral domains or ancestral lands.</w:t>
            </w:r>
          </w:p>
          <w:p w:rsidR="004D0FFA" w:rsidRPr="008963AC" w:rsidRDefault="004D0FFA" w:rsidP="00DC4349">
            <w:pPr>
              <w:spacing w:line="276" w:lineRule="auto"/>
              <w:rPr>
                <w:rFonts w:cs="Arial"/>
                <w:iCs/>
              </w:rPr>
            </w:pPr>
            <w:r>
              <w:rPr>
                <w:rFonts w:cs="Arial"/>
                <w:iCs/>
              </w:rPr>
              <w:t>Although IPRA provides IPs and ICCs with certain protections and rights, its efficacy is undermined by its inconsistency with other land laws and, in practice, IPs and ICCs still remain susceptible to being dispossessed of their land.</w:t>
            </w:r>
          </w:p>
        </w:tc>
      </w:tr>
      <w:tr w:rsidR="004D0FFA"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rsidR="004D0FFA" w:rsidRPr="00EE762A" w:rsidRDefault="006A113A" w:rsidP="00EE762A">
            <w:hyperlink w:anchor="InformalSettlements" w:history="1">
              <w:r w:rsidR="004D0FFA" w:rsidRPr="005914AD">
                <w:rPr>
                  <w:rStyle w:val="Hyperlink"/>
                </w:rPr>
                <w:t>Informal settlements</w:t>
              </w:r>
            </w:hyperlink>
          </w:p>
        </w:tc>
        <w:tc>
          <w:tcPr>
            <w:tcW w:w="8079" w:type="dxa"/>
            <w:tcBorders>
              <w:left w:val="single" w:sz="4" w:space="0" w:color="auto"/>
            </w:tcBorders>
          </w:tcPr>
          <w:p w:rsidR="004D0FFA" w:rsidRPr="00DD7C89" w:rsidRDefault="004D0FFA" w:rsidP="00DC4349">
            <w:pPr>
              <w:spacing w:line="276" w:lineRule="auto"/>
              <w:rPr>
                <w:rFonts w:cs="Arial"/>
                <w:iCs/>
              </w:rPr>
            </w:pPr>
            <w:r w:rsidRPr="00521EDC">
              <w:rPr>
                <w:rFonts w:cs="Arial"/>
                <w:iCs/>
              </w:rPr>
              <w:t xml:space="preserve">It </w:t>
            </w:r>
            <w:r>
              <w:rPr>
                <w:rFonts w:cs="Arial"/>
                <w:iCs/>
              </w:rPr>
              <w:t>is</w:t>
            </w:r>
            <w:r w:rsidRPr="00521EDC">
              <w:rPr>
                <w:rFonts w:cs="Arial"/>
                <w:iCs/>
              </w:rPr>
              <w:t xml:space="preserve"> estimated that over one third of </w:t>
            </w:r>
            <w:r>
              <w:rPr>
                <w:rFonts w:cs="Arial"/>
                <w:iCs/>
              </w:rPr>
              <w:t xml:space="preserve">the Philippine population lives in informal settlements or </w:t>
            </w:r>
            <w:r w:rsidRPr="00521EDC">
              <w:rPr>
                <w:rFonts w:cs="Arial"/>
                <w:iCs/>
              </w:rPr>
              <w:t xml:space="preserve">slums. </w:t>
            </w:r>
            <w:r>
              <w:rPr>
                <w:rFonts w:cs="Arial"/>
                <w:iCs/>
              </w:rPr>
              <w:t>The Constitution provides that urban and rural poor dwellers cannot be evicted, or have their dwellings demolished, other than in accordance with law and in a just and humane manner. This Constitutional protection against arbitrary eviction is given effect by the UDHA, as discussed in section 4 below.</w:t>
            </w:r>
          </w:p>
        </w:tc>
      </w:tr>
    </w:tbl>
    <w:p w:rsidR="004D0FFA" w:rsidRPr="005914AD" w:rsidRDefault="006A113A" w:rsidP="00EE762A">
      <w:pPr>
        <w:rPr>
          <w:b/>
        </w:rPr>
      </w:pPr>
      <w:hyperlink w:anchor="EvictionExpropriationRelocation" w:history="1">
        <w:r w:rsidR="00EE762A" w:rsidRPr="005914AD">
          <w:rPr>
            <w:rStyle w:val="Hyperlink"/>
            <w:b/>
            <w:color w:val="auto"/>
            <w:u w:val="none"/>
          </w:rPr>
          <w:t>4</w:t>
        </w:r>
        <w:r w:rsidR="00EE762A" w:rsidRPr="005914AD">
          <w:rPr>
            <w:rStyle w:val="Hyperlink"/>
            <w:b/>
            <w:color w:val="auto"/>
            <w:u w:val="none"/>
          </w:rPr>
          <w:tab/>
        </w:r>
        <w:r w:rsidR="004D0FFA" w:rsidRPr="00066BB8">
          <w:rPr>
            <w:rStyle w:val="Hyperlink"/>
            <w:b/>
            <w:color w:val="auto"/>
            <w:sz w:val="22"/>
            <w:szCs w:val="22"/>
            <w:u w:val="none"/>
          </w:rPr>
          <w:t>Eviction, expropriation and relocation</w:t>
        </w:r>
      </w:hyperlink>
    </w:p>
    <w:tbl>
      <w:tblPr>
        <w:tblStyle w:val="TableGrid"/>
        <w:tblW w:w="9923" w:type="dxa"/>
        <w:tblInd w:w="-176" w:type="dxa"/>
        <w:tblLayout w:type="fixed"/>
        <w:tblLook w:val="04A0" w:firstRow="1" w:lastRow="0" w:firstColumn="1" w:lastColumn="0" w:noHBand="0" w:noVBand="1"/>
      </w:tblPr>
      <w:tblGrid>
        <w:gridCol w:w="1844"/>
        <w:gridCol w:w="8079"/>
      </w:tblGrid>
      <w:tr w:rsidR="004D0FFA" w:rsidRPr="007A1DA0"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rsidR="004D0FFA" w:rsidRPr="00EE762A" w:rsidRDefault="006A113A" w:rsidP="00EE762A">
            <w:hyperlink w:anchor="Eviction" w:history="1">
              <w:r w:rsidR="004D0FFA" w:rsidRPr="005914AD">
                <w:rPr>
                  <w:rStyle w:val="Hyperlink"/>
                </w:rPr>
                <w:t>Eviction</w:t>
              </w:r>
            </w:hyperlink>
          </w:p>
        </w:tc>
        <w:tc>
          <w:tcPr>
            <w:tcW w:w="8079" w:type="dxa"/>
            <w:tcBorders>
              <w:left w:val="single" w:sz="4" w:space="0" w:color="auto"/>
            </w:tcBorders>
          </w:tcPr>
          <w:p w:rsidR="004D0FFA" w:rsidRDefault="004D0FFA" w:rsidP="00DC4349">
            <w:pPr>
              <w:spacing w:line="276" w:lineRule="auto"/>
            </w:pPr>
            <w:r>
              <w:t>The UDHA prescribes the circumstances in which the government may evict informal settlers and demolish their structures. Eviction and demolition are lawful where: (1) the informal settlers are occupying a danger area (</w:t>
            </w:r>
            <w:proofErr w:type="spellStart"/>
            <w:r>
              <w:t>eg</w:t>
            </w:r>
            <w:proofErr w:type="spellEnd"/>
            <w:r>
              <w:t>, railroad tracks, garbage dumps): (2) where a government infrastructure project is about to be implemented; or (3) where there is a court order for eviction and demolition.</w:t>
            </w:r>
          </w:p>
          <w:p w:rsidR="004D0FFA" w:rsidRPr="007A1DA0" w:rsidRDefault="004D0FFA" w:rsidP="00DC4349">
            <w:pPr>
              <w:spacing w:line="276" w:lineRule="auto"/>
            </w:pPr>
            <w:r>
              <w:t>Even where eviction and demolition is lawful, underprivileged or homeless persons cannot be evicted without 30 days' notice and an offer of adequate relocation. In practice, however, the Filipino government has been criticised for its failure to adhere to the forced eviction procedures and protections established by the UDHA.</w:t>
            </w:r>
          </w:p>
        </w:tc>
      </w:tr>
      <w:tr w:rsidR="004D0FFA" w:rsidRPr="007A1DA0"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rsidR="004D0FFA" w:rsidRPr="00EE762A" w:rsidRDefault="006A113A" w:rsidP="00EE762A">
            <w:hyperlink w:anchor="Expropriation" w:history="1">
              <w:r w:rsidR="004D0FFA" w:rsidRPr="005914AD">
                <w:rPr>
                  <w:rStyle w:val="Hyperlink"/>
                </w:rPr>
                <w:t>Expropriation</w:t>
              </w:r>
            </w:hyperlink>
          </w:p>
        </w:tc>
        <w:tc>
          <w:tcPr>
            <w:tcW w:w="8079" w:type="dxa"/>
            <w:tcBorders>
              <w:left w:val="single" w:sz="4" w:space="0" w:color="auto"/>
            </w:tcBorders>
          </w:tcPr>
          <w:p w:rsidR="004D0FFA" w:rsidRPr="007A1DA0" w:rsidRDefault="004D0FFA" w:rsidP="00DC4349">
            <w:pPr>
              <w:spacing w:line="276" w:lineRule="auto"/>
            </w:pPr>
            <w:r>
              <w:t>The Filipino government has the power to expropriate property but it can only exercise this power for a public purpose and under due process of law. Further, the government must pay just compensation for expropriated property. The requirement of due process means that it would be impractical for the government to rely on this power in the context of a disaster.</w:t>
            </w:r>
          </w:p>
        </w:tc>
      </w:tr>
      <w:tr w:rsidR="004D0FFA" w:rsidRPr="007A1DA0" w:rsidTr="00DC4349">
        <w:tc>
          <w:tcPr>
            <w:tcW w:w="1844" w:type="dxa"/>
            <w:tcBorders>
              <w:top w:val="single" w:sz="4" w:space="0" w:color="auto"/>
              <w:left w:val="single" w:sz="4" w:space="0" w:color="auto"/>
              <w:bottom w:val="single" w:sz="4" w:space="0" w:color="auto"/>
              <w:right w:val="single" w:sz="4" w:space="0" w:color="auto"/>
            </w:tcBorders>
            <w:shd w:val="clear" w:color="auto" w:fill="auto"/>
          </w:tcPr>
          <w:p w:rsidR="004D0FFA" w:rsidRPr="00EE762A" w:rsidRDefault="006A113A" w:rsidP="00EE762A">
            <w:hyperlink w:anchor="Relocation" w:history="1">
              <w:r w:rsidR="004D0FFA" w:rsidRPr="005914AD">
                <w:rPr>
                  <w:rStyle w:val="Hyperlink"/>
                </w:rPr>
                <w:t>Relocation</w:t>
              </w:r>
            </w:hyperlink>
          </w:p>
        </w:tc>
        <w:tc>
          <w:tcPr>
            <w:tcW w:w="8079" w:type="dxa"/>
            <w:tcBorders>
              <w:left w:val="single" w:sz="4" w:space="0" w:color="auto"/>
            </w:tcBorders>
          </w:tcPr>
          <w:p w:rsidR="004D0FFA" w:rsidRPr="007A1DA0" w:rsidRDefault="004D0FFA" w:rsidP="00DC4349">
            <w:pPr>
              <w:spacing w:line="276" w:lineRule="auto"/>
            </w:pPr>
            <w:r>
              <w:t>The UDHA provides that, where underprivileged and homeless citizens are relocated following an eviction, they must be adequately consulted and the resettlement area must have basic services and facilities (</w:t>
            </w:r>
            <w:proofErr w:type="spellStart"/>
            <w:r>
              <w:t>eg</w:t>
            </w:r>
            <w:proofErr w:type="spellEnd"/>
            <w:r>
              <w:t>, potable water, electricity, sewerage). In practice, however, the Filipino Government has been criticised by numerous local and international organisations for its failure to adhere to the requirements of the UDHA.</w:t>
            </w:r>
          </w:p>
        </w:tc>
      </w:tr>
    </w:tbl>
    <w:p w:rsidR="005D08E3" w:rsidRPr="00E6097F" w:rsidRDefault="005D08E3" w:rsidP="005D08E3">
      <w:pPr>
        <w:pStyle w:val="BodyText"/>
        <w:rPr>
          <w:rFonts w:cs="Arial"/>
        </w:rPr>
        <w:sectPr w:rsidR="005D08E3" w:rsidRPr="00E6097F" w:rsidSect="00A933E4">
          <w:headerReference w:type="default" r:id="rId17"/>
          <w:headerReference w:type="first" r:id="rId18"/>
          <w:pgSz w:w="11907" w:h="16840" w:code="9"/>
          <w:pgMar w:top="1701" w:right="1134" w:bottom="1134" w:left="1418" w:header="680" w:footer="567" w:gutter="0"/>
          <w:pgNumType w:start="0"/>
          <w:cols w:space="720"/>
          <w:titlePg/>
          <w:docGrid w:linePitch="272"/>
        </w:sectPr>
      </w:pPr>
    </w:p>
    <w:tbl>
      <w:tblPr>
        <w:tblpPr w:leftFromText="180" w:rightFromText="180" w:vertAnchor="text" w:horzAnchor="margin" w:tblpXSpec="center" w:tblpY="188"/>
        <w:tblW w:w="0" w:type="auto"/>
        <w:tblLayout w:type="fixed"/>
        <w:tblCellMar>
          <w:left w:w="0" w:type="dxa"/>
          <w:right w:w="0" w:type="dxa"/>
        </w:tblCellMar>
        <w:tblLook w:val="0000" w:firstRow="0" w:lastRow="0" w:firstColumn="0" w:lastColumn="0" w:noHBand="0" w:noVBand="0"/>
      </w:tblPr>
      <w:tblGrid>
        <w:gridCol w:w="9072"/>
      </w:tblGrid>
      <w:tr w:rsidR="00DD363E" w:rsidRPr="00535EDE" w:rsidTr="00DD363E">
        <w:trPr>
          <w:trHeight w:hRule="exact" w:val="3538"/>
        </w:trPr>
        <w:tc>
          <w:tcPr>
            <w:tcW w:w="9072" w:type="dxa"/>
            <w:shd w:val="solid" w:color="FFFFFF" w:fill="FFFFFF"/>
            <w:vAlign w:val="bottom"/>
          </w:tcPr>
          <w:p w:rsidR="00DD363E" w:rsidRPr="00535EDE" w:rsidRDefault="00DD363E" w:rsidP="00DD363E">
            <w:pPr>
              <w:spacing w:before="120" w:line="312" w:lineRule="auto"/>
              <w:rPr>
                <w:rFonts w:cs="Arial"/>
                <w:lang w:eastAsia="en-US"/>
              </w:rPr>
            </w:pPr>
          </w:p>
        </w:tc>
      </w:tr>
      <w:tr w:rsidR="00DD363E" w:rsidRPr="00535EDE" w:rsidTr="00DD363E">
        <w:trPr>
          <w:trHeight w:hRule="exact" w:val="3556"/>
        </w:trPr>
        <w:tc>
          <w:tcPr>
            <w:tcW w:w="9072" w:type="dxa"/>
            <w:vAlign w:val="bottom"/>
          </w:tcPr>
          <w:p w:rsidR="00DD363E" w:rsidRDefault="00DD363E" w:rsidP="00DD363E">
            <w:pPr>
              <w:pStyle w:val="Title"/>
              <w:jc w:val="center"/>
              <w:rPr>
                <w:b/>
                <w:bCs/>
              </w:rPr>
            </w:pPr>
            <w:bookmarkStart w:id="1" w:name="AgreementTitle"/>
          </w:p>
          <w:p w:rsidR="00DD363E" w:rsidRDefault="00DD363E" w:rsidP="00DD363E">
            <w:pPr>
              <w:pStyle w:val="Title"/>
              <w:jc w:val="center"/>
              <w:rPr>
                <w:b/>
                <w:bCs/>
              </w:rPr>
            </w:pPr>
            <w:r>
              <w:rPr>
                <w:b/>
                <w:bCs/>
              </w:rPr>
              <w:t>Disaster Law Housing, Land and</w:t>
            </w:r>
          </w:p>
          <w:p w:rsidR="00DD363E" w:rsidRDefault="00DD363E" w:rsidP="00DD363E">
            <w:pPr>
              <w:pStyle w:val="Title"/>
              <w:jc w:val="center"/>
              <w:rPr>
                <w:b/>
                <w:bCs/>
              </w:rPr>
            </w:pPr>
            <w:r w:rsidRPr="00F92C8D">
              <w:rPr>
                <w:b/>
                <w:bCs/>
              </w:rPr>
              <w:t>Property Mapping Project</w:t>
            </w:r>
          </w:p>
          <w:p w:rsidR="00DD363E" w:rsidRPr="005D6E30" w:rsidRDefault="00DD363E" w:rsidP="00DD363E">
            <w:pPr>
              <w:pStyle w:val="Title"/>
              <w:jc w:val="center"/>
              <w:rPr>
                <w:b/>
                <w:bCs/>
              </w:rPr>
            </w:pPr>
          </w:p>
          <w:p w:rsidR="00DD363E" w:rsidRPr="009A2ADB" w:rsidRDefault="00DD363E" w:rsidP="00DD363E">
            <w:pPr>
              <w:pStyle w:val="Title"/>
              <w:jc w:val="center"/>
              <w:rPr>
                <w:b/>
              </w:rPr>
            </w:pPr>
            <w:r>
              <w:rPr>
                <w:b/>
              </w:rPr>
              <w:t>Philippines</w:t>
            </w:r>
          </w:p>
          <w:bookmarkEnd w:id="1"/>
          <w:p w:rsidR="00DD363E" w:rsidRPr="00535EDE" w:rsidRDefault="00DD363E" w:rsidP="00DD363E">
            <w:pPr>
              <w:pStyle w:val="Title"/>
              <w:keepNext w:val="0"/>
              <w:spacing w:before="100" w:after="0" w:line="312" w:lineRule="auto"/>
              <w:jc w:val="center"/>
              <w:rPr>
                <w:sz w:val="20"/>
                <w:szCs w:val="32"/>
              </w:rPr>
            </w:pPr>
          </w:p>
        </w:tc>
      </w:tr>
      <w:tr w:rsidR="00DD363E" w:rsidRPr="00535EDE" w:rsidTr="00DD363E">
        <w:trPr>
          <w:trHeight w:val="1559"/>
        </w:trPr>
        <w:tc>
          <w:tcPr>
            <w:tcW w:w="9072" w:type="dxa"/>
          </w:tcPr>
          <w:p w:rsidR="00DD363E" w:rsidRPr="00535EDE" w:rsidRDefault="00DD363E" w:rsidP="00DD363E">
            <w:pPr>
              <w:spacing w:line="312" w:lineRule="auto"/>
              <w:jc w:val="center"/>
              <w:rPr>
                <w:rFonts w:cs="Arial"/>
                <w:lang w:eastAsia="en-US"/>
              </w:rPr>
            </w:pPr>
          </w:p>
        </w:tc>
      </w:tr>
      <w:tr w:rsidR="00DD363E" w:rsidRPr="00535EDE" w:rsidTr="00DD363E">
        <w:trPr>
          <w:trHeight w:val="3674"/>
        </w:trPr>
        <w:tc>
          <w:tcPr>
            <w:tcW w:w="9072" w:type="dxa"/>
            <w:vAlign w:val="bottom"/>
          </w:tcPr>
          <w:p w:rsidR="00DD363E" w:rsidRPr="00535EDE" w:rsidRDefault="00DD363E" w:rsidP="00DD363E">
            <w:pPr>
              <w:pStyle w:val="BodyText"/>
              <w:tabs>
                <w:tab w:val="right" w:pos="7938"/>
              </w:tabs>
              <w:spacing w:before="120"/>
              <w:ind w:left="709" w:hanging="709"/>
              <w:rPr>
                <w:rFonts w:cs="Arial"/>
                <w:b/>
                <w:noProof/>
                <w:sz w:val="12"/>
              </w:rPr>
            </w:pPr>
          </w:p>
        </w:tc>
      </w:tr>
    </w:tbl>
    <w:p w:rsidR="004D0FFA" w:rsidRDefault="004D0FFA" w:rsidP="00DC4349">
      <w:pPr>
        <w:pStyle w:val="AllensHeading1"/>
        <w:numPr>
          <w:ilvl w:val="0"/>
          <w:numId w:val="0"/>
        </w:numPr>
      </w:pPr>
    </w:p>
    <w:p w:rsidR="00F92C8D" w:rsidRDefault="00F92C8D">
      <w:pPr>
        <w:pStyle w:val="BodyText"/>
        <w:rPr>
          <w:rFonts w:cs="Arial"/>
          <w:lang w:eastAsia="en-US"/>
        </w:rPr>
      </w:pPr>
    </w:p>
    <w:p w:rsidR="004D0FFA" w:rsidRDefault="004D0FFA">
      <w:pPr>
        <w:pStyle w:val="BodyText"/>
        <w:rPr>
          <w:rFonts w:cs="Arial"/>
          <w:lang w:eastAsia="en-US"/>
        </w:rPr>
      </w:pPr>
    </w:p>
    <w:p w:rsidR="004D0FFA" w:rsidRDefault="004D0FFA">
      <w:pPr>
        <w:pStyle w:val="BodyText"/>
        <w:rPr>
          <w:rFonts w:cs="Arial"/>
          <w:lang w:eastAsia="en-US"/>
        </w:rPr>
      </w:pPr>
    </w:p>
    <w:p w:rsidR="004D0FFA" w:rsidRDefault="004D0FFA">
      <w:pPr>
        <w:pStyle w:val="BodyText"/>
        <w:rPr>
          <w:rFonts w:cs="Arial"/>
          <w:lang w:eastAsia="en-US"/>
        </w:rPr>
      </w:pPr>
    </w:p>
    <w:sdt>
      <w:sdtPr>
        <w:rPr>
          <w:b w:val="0"/>
          <w:sz w:val="20"/>
        </w:rPr>
        <w:id w:val="1908348336"/>
        <w:docPartObj>
          <w:docPartGallery w:val="Table of Contents"/>
          <w:docPartUnique/>
        </w:docPartObj>
      </w:sdtPr>
      <w:sdtEndPr>
        <w:rPr>
          <w:noProof/>
        </w:rPr>
      </w:sdtEndPr>
      <w:sdtContent>
        <w:p w:rsidR="00F92C8D" w:rsidRPr="00C53540" w:rsidRDefault="00F92C8D" w:rsidP="00627B32">
          <w:pPr>
            <w:pStyle w:val="ContentsHeading"/>
          </w:pPr>
          <w:r w:rsidRPr="00C53540">
            <w:t>Contents</w:t>
          </w:r>
        </w:p>
        <w:p w:rsidR="003049FC" w:rsidRDefault="00F92C8D">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\t "Schedule 1,1" </w:instrText>
          </w:r>
          <w:r>
            <w:rPr>
              <w:b w:val="0"/>
            </w:rPr>
            <w:fldChar w:fldCharType="separate"/>
          </w:r>
          <w:hyperlink w:anchor="_Toc513116245" w:history="1">
            <w:r w:rsidR="003049FC" w:rsidRPr="00205ACD">
              <w:rPr>
                <w:rStyle w:val="Hyperlink"/>
              </w:rPr>
              <w:t>1</w:t>
            </w:r>
            <w:r w:rsidR="003049FC">
              <w:rPr>
                <w:rFonts w:asciiTheme="minorHAnsi" w:eastAsiaTheme="minorEastAsia" w:hAnsiTheme="minorHAnsi" w:cstheme="minorBidi"/>
                <w:b w:val="0"/>
                <w:sz w:val="22"/>
                <w:szCs w:val="22"/>
                <w:lang w:eastAsia="en-AU"/>
              </w:rPr>
              <w:tab/>
            </w:r>
            <w:r w:rsidR="003049FC" w:rsidRPr="00205ACD">
              <w:rPr>
                <w:rStyle w:val="Hyperlink"/>
              </w:rPr>
              <w:t>Introduction</w:t>
            </w:r>
            <w:r w:rsidR="003049FC">
              <w:rPr>
                <w:webHidden/>
              </w:rPr>
              <w:tab/>
            </w:r>
            <w:r w:rsidR="003049FC">
              <w:rPr>
                <w:webHidden/>
              </w:rPr>
              <w:fldChar w:fldCharType="begin"/>
            </w:r>
            <w:r w:rsidR="003049FC">
              <w:rPr>
                <w:webHidden/>
              </w:rPr>
              <w:instrText xml:space="preserve"> PAGEREF _Toc513116245 \h </w:instrText>
            </w:r>
            <w:r w:rsidR="003049FC">
              <w:rPr>
                <w:webHidden/>
              </w:rPr>
            </w:r>
            <w:r w:rsidR="003049FC">
              <w:rPr>
                <w:webHidden/>
              </w:rPr>
              <w:fldChar w:fldCharType="separate"/>
            </w:r>
            <w:r w:rsidR="003049FC">
              <w:rPr>
                <w:webHidden/>
              </w:rPr>
              <w:t>3</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46" w:history="1">
            <w:r w:rsidR="003049FC" w:rsidRPr="00205ACD">
              <w:rPr>
                <w:rStyle w:val="Hyperlink"/>
              </w:rPr>
              <w:t>1.1</w:t>
            </w:r>
            <w:r w:rsidR="003049FC">
              <w:rPr>
                <w:rFonts w:asciiTheme="minorHAnsi" w:eastAsiaTheme="minorEastAsia" w:hAnsiTheme="minorHAnsi" w:cstheme="minorBidi"/>
                <w:sz w:val="22"/>
                <w:szCs w:val="22"/>
                <w:lang w:eastAsia="en-AU"/>
              </w:rPr>
              <w:tab/>
            </w:r>
            <w:r w:rsidR="003049FC" w:rsidRPr="00205ACD">
              <w:rPr>
                <w:rStyle w:val="Hyperlink"/>
              </w:rPr>
              <w:t>Overview</w:t>
            </w:r>
            <w:r w:rsidR="003049FC">
              <w:rPr>
                <w:webHidden/>
              </w:rPr>
              <w:tab/>
            </w:r>
            <w:r w:rsidR="003049FC">
              <w:rPr>
                <w:webHidden/>
              </w:rPr>
              <w:fldChar w:fldCharType="begin"/>
            </w:r>
            <w:r w:rsidR="003049FC">
              <w:rPr>
                <w:webHidden/>
              </w:rPr>
              <w:instrText xml:space="preserve"> PAGEREF _Toc513116246 \h </w:instrText>
            </w:r>
            <w:r w:rsidR="003049FC">
              <w:rPr>
                <w:webHidden/>
              </w:rPr>
            </w:r>
            <w:r w:rsidR="003049FC">
              <w:rPr>
                <w:webHidden/>
              </w:rPr>
              <w:fldChar w:fldCharType="separate"/>
            </w:r>
            <w:r w:rsidR="003049FC">
              <w:rPr>
                <w:webHidden/>
              </w:rPr>
              <w:t>3</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47" w:history="1">
            <w:r w:rsidR="003049FC" w:rsidRPr="00205ACD">
              <w:rPr>
                <w:rStyle w:val="Hyperlink"/>
              </w:rPr>
              <w:t>1.2</w:t>
            </w:r>
            <w:r w:rsidR="003049FC">
              <w:rPr>
                <w:rFonts w:asciiTheme="minorHAnsi" w:eastAsiaTheme="minorEastAsia" w:hAnsiTheme="minorHAnsi" w:cstheme="minorBidi"/>
                <w:sz w:val="22"/>
                <w:szCs w:val="22"/>
                <w:lang w:eastAsia="en-AU"/>
              </w:rPr>
              <w:tab/>
            </w:r>
            <w:r w:rsidR="003049FC" w:rsidRPr="00205ACD">
              <w:rPr>
                <w:rStyle w:val="Hyperlink"/>
              </w:rPr>
              <w:t>Background information on the Philippines</w:t>
            </w:r>
            <w:r w:rsidR="003049FC">
              <w:rPr>
                <w:webHidden/>
              </w:rPr>
              <w:tab/>
            </w:r>
            <w:r w:rsidR="003049FC">
              <w:rPr>
                <w:webHidden/>
              </w:rPr>
              <w:fldChar w:fldCharType="begin"/>
            </w:r>
            <w:r w:rsidR="003049FC">
              <w:rPr>
                <w:webHidden/>
              </w:rPr>
              <w:instrText xml:space="preserve"> PAGEREF _Toc513116247 \h </w:instrText>
            </w:r>
            <w:r w:rsidR="003049FC">
              <w:rPr>
                <w:webHidden/>
              </w:rPr>
            </w:r>
            <w:r w:rsidR="003049FC">
              <w:rPr>
                <w:webHidden/>
              </w:rPr>
              <w:fldChar w:fldCharType="separate"/>
            </w:r>
            <w:r w:rsidR="003049FC">
              <w:rPr>
                <w:webHidden/>
              </w:rPr>
              <w:t>3</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48" w:history="1">
            <w:r w:rsidR="003049FC" w:rsidRPr="00205ACD">
              <w:rPr>
                <w:rStyle w:val="Hyperlink"/>
                <w:lang w:val="en-GB"/>
              </w:rPr>
              <w:t>1.3</w:t>
            </w:r>
            <w:r w:rsidR="003049FC">
              <w:rPr>
                <w:rFonts w:asciiTheme="minorHAnsi" w:eastAsiaTheme="minorEastAsia" w:hAnsiTheme="minorHAnsi" w:cstheme="minorBidi"/>
                <w:sz w:val="22"/>
                <w:szCs w:val="22"/>
                <w:lang w:eastAsia="en-AU"/>
              </w:rPr>
              <w:tab/>
            </w:r>
            <w:r w:rsidR="003049FC" w:rsidRPr="00205ACD">
              <w:rPr>
                <w:rStyle w:val="Hyperlink"/>
                <w:lang w:val="en-GB"/>
              </w:rPr>
              <w:t>Brief historical background on land tenure in the Philippines</w:t>
            </w:r>
            <w:r w:rsidR="003049FC">
              <w:rPr>
                <w:webHidden/>
              </w:rPr>
              <w:tab/>
            </w:r>
            <w:r w:rsidR="003049FC">
              <w:rPr>
                <w:webHidden/>
              </w:rPr>
              <w:fldChar w:fldCharType="begin"/>
            </w:r>
            <w:r w:rsidR="003049FC">
              <w:rPr>
                <w:webHidden/>
              </w:rPr>
              <w:instrText xml:space="preserve"> PAGEREF _Toc513116248 \h </w:instrText>
            </w:r>
            <w:r w:rsidR="003049FC">
              <w:rPr>
                <w:webHidden/>
              </w:rPr>
            </w:r>
            <w:r w:rsidR="003049FC">
              <w:rPr>
                <w:webHidden/>
              </w:rPr>
              <w:fldChar w:fldCharType="separate"/>
            </w:r>
            <w:r w:rsidR="003049FC">
              <w:rPr>
                <w:webHidden/>
              </w:rPr>
              <w:t>5</w:t>
            </w:r>
            <w:r w:rsidR="003049FC">
              <w:rPr>
                <w:webHidden/>
              </w:rPr>
              <w:fldChar w:fldCharType="end"/>
            </w:r>
          </w:hyperlink>
        </w:p>
        <w:p w:rsidR="003049FC" w:rsidRDefault="006A113A">
          <w:pPr>
            <w:pStyle w:val="TOC1"/>
            <w:rPr>
              <w:rFonts w:asciiTheme="minorHAnsi" w:eastAsiaTheme="minorEastAsia" w:hAnsiTheme="minorHAnsi" w:cstheme="minorBidi"/>
              <w:b w:val="0"/>
              <w:sz w:val="22"/>
              <w:szCs w:val="22"/>
              <w:lang w:eastAsia="en-AU"/>
            </w:rPr>
          </w:pPr>
          <w:hyperlink w:anchor="_Toc513116249" w:history="1">
            <w:r w:rsidR="003049FC" w:rsidRPr="00205ACD">
              <w:rPr>
                <w:rStyle w:val="Hyperlink"/>
              </w:rPr>
              <w:t>2</w:t>
            </w:r>
            <w:r w:rsidR="003049FC">
              <w:rPr>
                <w:rFonts w:asciiTheme="minorHAnsi" w:eastAsiaTheme="minorEastAsia" w:hAnsiTheme="minorHAnsi" w:cstheme="minorBidi"/>
                <w:b w:val="0"/>
                <w:sz w:val="22"/>
                <w:szCs w:val="22"/>
                <w:lang w:eastAsia="en-AU"/>
              </w:rPr>
              <w:tab/>
            </w:r>
            <w:r w:rsidR="003049FC" w:rsidRPr="00205ACD">
              <w:rPr>
                <w:rStyle w:val="Hyperlink"/>
              </w:rPr>
              <w:t>Common tenure types</w:t>
            </w:r>
            <w:r w:rsidR="003049FC">
              <w:rPr>
                <w:webHidden/>
              </w:rPr>
              <w:tab/>
            </w:r>
            <w:r w:rsidR="003049FC">
              <w:rPr>
                <w:webHidden/>
              </w:rPr>
              <w:fldChar w:fldCharType="begin"/>
            </w:r>
            <w:r w:rsidR="003049FC">
              <w:rPr>
                <w:webHidden/>
              </w:rPr>
              <w:instrText xml:space="preserve"> PAGEREF _Toc513116249 \h </w:instrText>
            </w:r>
            <w:r w:rsidR="003049FC">
              <w:rPr>
                <w:webHidden/>
              </w:rPr>
            </w:r>
            <w:r w:rsidR="003049FC">
              <w:rPr>
                <w:webHidden/>
              </w:rPr>
              <w:fldChar w:fldCharType="separate"/>
            </w:r>
            <w:r w:rsidR="003049FC">
              <w:rPr>
                <w:webHidden/>
              </w:rPr>
              <w:t>7</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50" w:history="1">
            <w:r w:rsidR="003049FC" w:rsidRPr="00205ACD">
              <w:rPr>
                <w:rStyle w:val="Hyperlink"/>
              </w:rPr>
              <w:t>2.1</w:t>
            </w:r>
            <w:r w:rsidR="003049FC">
              <w:rPr>
                <w:rFonts w:asciiTheme="minorHAnsi" w:eastAsiaTheme="minorEastAsia" w:hAnsiTheme="minorHAnsi" w:cstheme="minorBidi"/>
                <w:sz w:val="22"/>
                <w:szCs w:val="22"/>
                <w:lang w:eastAsia="en-AU"/>
              </w:rPr>
              <w:tab/>
            </w:r>
            <w:r w:rsidR="003049FC" w:rsidRPr="00205ACD">
              <w:rPr>
                <w:rStyle w:val="Hyperlink"/>
              </w:rPr>
              <w:t>Tenure types</w:t>
            </w:r>
            <w:r w:rsidR="003049FC">
              <w:rPr>
                <w:webHidden/>
              </w:rPr>
              <w:tab/>
            </w:r>
            <w:r w:rsidR="003049FC">
              <w:rPr>
                <w:webHidden/>
              </w:rPr>
              <w:fldChar w:fldCharType="begin"/>
            </w:r>
            <w:r w:rsidR="003049FC">
              <w:rPr>
                <w:webHidden/>
              </w:rPr>
              <w:instrText xml:space="preserve"> PAGEREF _Toc513116250 \h </w:instrText>
            </w:r>
            <w:r w:rsidR="003049FC">
              <w:rPr>
                <w:webHidden/>
              </w:rPr>
            </w:r>
            <w:r w:rsidR="003049FC">
              <w:rPr>
                <w:webHidden/>
              </w:rPr>
              <w:fldChar w:fldCharType="separate"/>
            </w:r>
            <w:r w:rsidR="003049FC">
              <w:rPr>
                <w:webHidden/>
              </w:rPr>
              <w:t>7</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51" w:history="1">
            <w:r w:rsidR="003049FC" w:rsidRPr="00205ACD">
              <w:rPr>
                <w:rStyle w:val="Hyperlink"/>
                <w:rFonts w:eastAsiaTheme="minorHAnsi"/>
              </w:rPr>
              <w:t>2.3</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rPr>
              <w:t>Customary ownership</w:t>
            </w:r>
            <w:r w:rsidR="003049FC">
              <w:rPr>
                <w:webHidden/>
              </w:rPr>
              <w:tab/>
            </w:r>
            <w:r w:rsidR="003049FC">
              <w:rPr>
                <w:webHidden/>
              </w:rPr>
              <w:fldChar w:fldCharType="begin"/>
            </w:r>
            <w:r w:rsidR="003049FC">
              <w:rPr>
                <w:webHidden/>
              </w:rPr>
              <w:instrText xml:space="preserve"> PAGEREF _Toc513116251 \h </w:instrText>
            </w:r>
            <w:r w:rsidR="003049FC">
              <w:rPr>
                <w:webHidden/>
              </w:rPr>
            </w:r>
            <w:r w:rsidR="003049FC">
              <w:rPr>
                <w:webHidden/>
              </w:rPr>
              <w:fldChar w:fldCharType="separate"/>
            </w:r>
            <w:r w:rsidR="003049FC">
              <w:rPr>
                <w:webHidden/>
              </w:rPr>
              <w:t>15</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52" w:history="1">
            <w:r w:rsidR="003049FC" w:rsidRPr="00205ACD">
              <w:rPr>
                <w:rStyle w:val="Hyperlink"/>
                <w:rFonts w:eastAsiaTheme="minorHAnsi"/>
              </w:rPr>
              <w:t>2.4</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rPr>
              <w:t>Informal Settlements</w:t>
            </w:r>
            <w:r w:rsidR="003049FC">
              <w:rPr>
                <w:webHidden/>
              </w:rPr>
              <w:tab/>
            </w:r>
            <w:r w:rsidR="003049FC">
              <w:rPr>
                <w:webHidden/>
              </w:rPr>
              <w:fldChar w:fldCharType="begin"/>
            </w:r>
            <w:r w:rsidR="003049FC">
              <w:rPr>
                <w:webHidden/>
              </w:rPr>
              <w:instrText xml:space="preserve"> PAGEREF _Toc513116252 \h </w:instrText>
            </w:r>
            <w:r w:rsidR="003049FC">
              <w:rPr>
                <w:webHidden/>
              </w:rPr>
            </w:r>
            <w:r w:rsidR="003049FC">
              <w:rPr>
                <w:webHidden/>
              </w:rPr>
              <w:fldChar w:fldCharType="separate"/>
            </w:r>
            <w:r w:rsidR="003049FC">
              <w:rPr>
                <w:webHidden/>
              </w:rPr>
              <w:t>19</w:t>
            </w:r>
            <w:r w:rsidR="003049FC">
              <w:rPr>
                <w:webHidden/>
              </w:rPr>
              <w:fldChar w:fldCharType="end"/>
            </w:r>
          </w:hyperlink>
        </w:p>
        <w:p w:rsidR="003049FC" w:rsidRDefault="006A113A">
          <w:pPr>
            <w:pStyle w:val="TOC1"/>
            <w:rPr>
              <w:rFonts w:asciiTheme="minorHAnsi" w:eastAsiaTheme="minorEastAsia" w:hAnsiTheme="minorHAnsi" w:cstheme="minorBidi"/>
              <w:b w:val="0"/>
              <w:sz w:val="22"/>
              <w:szCs w:val="22"/>
              <w:lang w:eastAsia="en-AU"/>
            </w:rPr>
          </w:pPr>
          <w:hyperlink w:anchor="_Toc513116253" w:history="1">
            <w:r w:rsidR="003049FC" w:rsidRPr="00205ACD">
              <w:rPr>
                <w:rStyle w:val="Hyperlink"/>
                <w:rFonts w:eastAsiaTheme="minorHAnsi"/>
                <w:lang w:val="en-US"/>
              </w:rPr>
              <w:t>3</w:t>
            </w:r>
            <w:r w:rsidR="003049FC">
              <w:rPr>
                <w:rFonts w:asciiTheme="minorHAnsi" w:eastAsiaTheme="minorEastAsia" w:hAnsiTheme="minorHAnsi" w:cstheme="minorBidi"/>
                <w:b w:val="0"/>
                <w:sz w:val="22"/>
                <w:szCs w:val="22"/>
                <w:lang w:eastAsia="en-AU"/>
              </w:rPr>
              <w:tab/>
            </w:r>
            <w:r w:rsidR="003049FC" w:rsidRPr="00205ACD">
              <w:rPr>
                <w:rStyle w:val="Hyperlink"/>
                <w:rFonts w:eastAsiaTheme="minorHAnsi"/>
                <w:lang w:val="en-US"/>
              </w:rPr>
              <w:t>Security of Tenure of Vulnerable Groups</w:t>
            </w:r>
            <w:r w:rsidR="003049FC">
              <w:rPr>
                <w:webHidden/>
              </w:rPr>
              <w:tab/>
            </w:r>
            <w:r w:rsidR="003049FC">
              <w:rPr>
                <w:webHidden/>
              </w:rPr>
              <w:fldChar w:fldCharType="begin"/>
            </w:r>
            <w:r w:rsidR="003049FC">
              <w:rPr>
                <w:webHidden/>
              </w:rPr>
              <w:instrText xml:space="preserve"> PAGEREF _Toc513116253 \h </w:instrText>
            </w:r>
            <w:r w:rsidR="003049FC">
              <w:rPr>
                <w:webHidden/>
              </w:rPr>
            </w:r>
            <w:r w:rsidR="003049FC">
              <w:rPr>
                <w:webHidden/>
              </w:rPr>
              <w:fldChar w:fldCharType="separate"/>
            </w:r>
            <w:r w:rsidR="003049FC">
              <w:rPr>
                <w:webHidden/>
              </w:rPr>
              <w:t>20</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54" w:history="1">
            <w:r w:rsidR="003049FC" w:rsidRPr="00205ACD">
              <w:rPr>
                <w:rStyle w:val="Hyperlink"/>
                <w:rFonts w:eastAsiaTheme="minorHAnsi"/>
                <w:lang w:val="en-US"/>
              </w:rPr>
              <w:t>3.1</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Women</w:t>
            </w:r>
            <w:r w:rsidR="003049FC">
              <w:rPr>
                <w:webHidden/>
              </w:rPr>
              <w:tab/>
            </w:r>
            <w:r w:rsidR="003049FC">
              <w:rPr>
                <w:webHidden/>
              </w:rPr>
              <w:fldChar w:fldCharType="begin"/>
            </w:r>
            <w:r w:rsidR="003049FC">
              <w:rPr>
                <w:webHidden/>
              </w:rPr>
              <w:instrText xml:space="preserve"> PAGEREF _Toc513116254 \h </w:instrText>
            </w:r>
            <w:r w:rsidR="003049FC">
              <w:rPr>
                <w:webHidden/>
              </w:rPr>
            </w:r>
            <w:r w:rsidR="003049FC">
              <w:rPr>
                <w:webHidden/>
              </w:rPr>
              <w:fldChar w:fldCharType="separate"/>
            </w:r>
            <w:r w:rsidR="003049FC">
              <w:rPr>
                <w:webHidden/>
              </w:rPr>
              <w:t>20</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55" w:history="1">
            <w:r w:rsidR="003049FC" w:rsidRPr="00205ACD">
              <w:rPr>
                <w:rStyle w:val="Hyperlink"/>
                <w:rFonts w:eastAsiaTheme="minorHAnsi"/>
                <w:lang w:val="en-US"/>
              </w:rPr>
              <w:t>3.2</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Indigenous groups</w:t>
            </w:r>
            <w:r w:rsidR="003049FC">
              <w:rPr>
                <w:webHidden/>
              </w:rPr>
              <w:tab/>
            </w:r>
            <w:r w:rsidR="003049FC">
              <w:rPr>
                <w:webHidden/>
              </w:rPr>
              <w:fldChar w:fldCharType="begin"/>
            </w:r>
            <w:r w:rsidR="003049FC">
              <w:rPr>
                <w:webHidden/>
              </w:rPr>
              <w:instrText xml:space="preserve"> PAGEREF _Toc513116255 \h </w:instrText>
            </w:r>
            <w:r w:rsidR="003049FC">
              <w:rPr>
                <w:webHidden/>
              </w:rPr>
            </w:r>
            <w:r w:rsidR="003049FC">
              <w:rPr>
                <w:webHidden/>
              </w:rPr>
              <w:fldChar w:fldCharType="separate"/>
            </w:r>
            <w:r w:rsidR="003049FC">
              <w:rPr>
                <w:webHidden/>
              </w:rPr>
              <w:t>22</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56" w:history="1">
            <w:r w:rsidR="003049FC" w:rsidRPr="00205ACD">
              <w:rPr>
                <w:rStyle w:val="Hyperlink"/>
                <w:rFonts w:eastAsiaTheme="minorHAnsi"/>
                <w:lang w:val="en-US"/>
              </w:rPr>
              <w:t>3.3</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Minority groups</w:t>
            </w:r>
            <w:r w:rsidR="003049FC">
              <w:rPr>
                <w:webHidden/>
              </w:rPr>
              <w:tab/>
            </w:r>
            <w:r w:rsidR="003049FC">
              <w:rPr>
                <w:webHidden/>
              </w:rPr>
              <w:fldChar w:fldCharType="begin"/>
            </w:r>
            <w:r w:rsidR="003049FC">
              <w:rPr>
                <w:webHidden/>
              </w:rPr>
              <w:instrText xml:space="preserve"> PAGEREF _Toc513116256 \h </w:instrText>
            </w:r>
            <w:r w:rsidR="003049FC">
              <w:rPr>
                <w:webHidden/>
              </w:rPr>
            </w:r>
            <w:r w:rsidR="003049FC">
              <w:rPr>
                <w:webHidden/>
              </w:rPr>
              <w:fldChar w:fldCharType="separate"/>
            </w:r>
            <w:r w:rsidR="003049FC">
              <w:rPr>
                <w:webHidden/>
              </w:rPr>
              <w:t>26</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57" w:history="1">
            <w:r w:rsidR="003049FC" w:rsidRPr="00205ACD">
              <w:rPr>
                <w:rStyle w:val="Hyperlink"/>
                <w:rFonts w:eastAsiaTheme="minorHAnsi"/>
                <w:lang w:val="en-US"/>
              </w:rPr>
              <w:t>3.4</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Landless people/informal settlers</w:t>
            </w:r>
            <w:r w:rsidR="003049FC">
              <w:rPr>
                <w:webHidden/>
              </w:rPr>
              <w:tab/>
            </w:r>
            <w:r w:rsidR="003049FC">
              <w:rPr>
                <w:webHidden/>
              </w:rPr>
              <w:fldChar w:fldCharType="begin"/>
            </w:r>
            <w:r w:rsidR="003049FC">
              <w:rPr>
                <w:webHidden/>
              </w:rPr>
              <w:instrText xml:space="preserve"> PAGEREF _Toc513116257 \h </w:instrText>
            </w:r>
            <w:r w:rsidR="003049FC">
              <w:rPr>
                <w:webHidden/>
              </w:rPr>
            </w:r>
            <w:r w:rsidR="003049FC">
              <w:rPr>
                <w:webHidden/>
              </w:rPr>
              <w:fldChar w:fldCharType="separate"/>
            </w:r>
            <w:r w:rsidR="003049FC">
              <w:rPr>
                <w:webHidden/>
              </w:rPr>
              <w:t>27</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58" w:history="1">
            <w:r w:rsidR="003049FC" w:rsidRPr="00205ACD">
              <w:rPr>
                <w:rStyle w:val="Hyperlink"/>
              </w:rPr>
              <w:t>3.5</w:t>
            </w:r>
            <w:r w:rsidR="003049FC">
              <w:rPr>
                <w:rFonts w:asciiTheme="minorHAnsi" w:eastAsiaTheme="minorEastAsia" w:hAnsiTheme="minorHAnsi" w:cstheme="minorBidi"/>
                <w:sz w:val="22"/>
                <w:szCs w:val="22"/>
                <w:lang w:eastAsia="en-AU"/>
              </w:rPr>
              <w:tab/>
            </w:r>
            <w:r w:rsidR="003049FC" w:rsidRPr="00205ACD">
              <w:rPr>
                <w:rStyle w:val="Hyperlink"/>
              </w:rPr>
              <w:t>Other groups</w:t>
            </w:r>
            <w:r w:rsidR="003049FC">
              <w:rPr>
                <w:webHidden/>
              </w:rPr>
              <w:tab/>
            </w:r>
            <w:r w:rsidR="003049FC">
              <w:rPr>
                <w:webHidden/>
              </w:rPr>
              <w:fldChar w:fldCharType="begin"/>
            </w:r>
            <w:r w:rsidR="003049FC">
              <w:rPr>
                <w:webHidden/>
              </w:rPr>
              <w:instrText xml:space="preserve"> PAGEREF _Toc513116258 \h </w:instrText>
            </w:r>
            <w:r w:rsidR="003049FC">
              <w:rPr>
                <w:webHidden/>
              </w:rPr>
            </w:r>
            <w:r w:rsidR="003049FC">
              <w:rPr>
                <w:webHidden/>
              </w:rPr>
              <w:fldChar w:fldCharType="separate"/>
            </w:r>
            <w:r w:rsidR="003049FC">
              <w:rPr>
                <w:webHidden/>
              </w:rPr>
              <w:t>29</w:t>
            </w:r>
            <w:r w:rsidR="003049FC">
              <w:rPr>
                <w:webHidden/>
              </w:rPr>
              <w:fldChar w:fldCharType="end"/>
            </w:r>
          </w:hyperlink>
        </w:p>
        <w:p w:rsidR="003049FC" w:rsidRDefault="006A113A">
          <w:pPr>
            <w:pStyle w:val="TOC1"/>
            <w:rPr>
              <w:rFonts w:asciiTheme="minorHAnsi" w:eastAsiaTheme="minorEastAsia" w:hAnsiTheme="minorHAnsi" w:cstheme="minorBidi"/>
              <w:b w:val="0"/>
              <w:sz w:val="22"/>
              <w:szCs w:val="22"/>
              <w:lang w:eastAsia="en-AU"/>
            </w:rPr>
          </w:pPr>
          <w:hyperlink w:anchor="_Toc513116259" w:history="1">
            <w:r w:rsidR="003049FC" w:rsidRPr="00205ACD">
              <w:rPr>
                <w:rStyle w:val="Hyperlink"/>
                <w:rFonts w:eastAsiaTheme="minorHAnsi"/>
                <w:lang w:val="en-US"/>
              </w:rPr>
              <w:t>4</w:t>
            </w:r>
            <w:r w:rsidR="003049FC">
              <w:rPr>
                <w:rFonts w:asciiTheme="minorHAnsi" w:eastAsiaTheme="minorEastAsia" w:hAnsiTheme="minorHAnsi" w:cstheme="minorBidi"/>
                <w:b w:val="0"/>
                <w:sz w:val="22"/>
                <w:szCs w:val="22"/>
                <w:lang w:eastAsia="en-AU"/>
              </w:rPr>
              <w:tab/>
            </w:r>
            <w:r w:rsidR="003049FC" w:rsidRPr="00205ACD">
              <w:rPr>
                <w:rStyle w:val="Hyperlink"/>
                <w:rFonts w:eastAsiaTheme="minorHAnsi"/>
                <w:lang w:val="en-US"/>
              </w:rPr>
              <w:t>Eviction, Expropriation and Relocation</w:t>
            </w:r>
            <w:r w:rsidR="003049FC">
              <w:rPr>
                <w:webHidden/>
              </w:rPr>
              <w:tab/>
            </w:r>
            <w:r w:rsidR="003049FC">
              <w:rPr>
                <w:webHidden/>
              </w:rPr>
              <w:fldChar w:fldCharType="begin"/>
            </w:r>
            <w:r w:rsidR="003049FC">
              <w:rPr>
                <w:webHidden/>
              </w:rPr>
              <w:instrText xml:space="preserve"> PAGEREF _Toc513116259 \h </w:instrText>
            </w:r>
            <w:r w:rsidR="003049FC">
              <w:rPr>
                <w:webHidden/>
              </w:rPr>
            </w:r>
            <w:r w:rsidR="003049FC">
              <w:rPr>
                <w:webHidden/>
              </w:rPr>
              <w:fldChar w:fldCharType="separate"/>
            </w:r>
            <w:r w:rsidR="003049FC">
              <w:rPr>
                <w:webHidden/>
              </w:rPr>
              <w:t>32</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0" w:history="1">
            <w:r w:rsidR="003049FC" w:rsidRPr="00205ACD">
              <w:rPr>
                <w:rStyle w:val="Hyperlink"/>
                <w:rFonts w:eastAsiaTheme="minorHAnsi"/>
                <w:lang w:val="en-US"/>
              </w:rPr>
              <w:t>4.1</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Evictions</w:t>
            </w:r>
            <w:r w:rsidR="003049FC">
              <w:rPr>
                <w:webHidden/>
              </w:rPr>
              <w:tab/>
            </w:r>
            <w:r w:rsidR="003049FC">
              <w:rPr>
                <w:webHidden/>
              </w:rPr>
              <w:fldChar w:fldCharType="begin"/>
            </w:r>
            <w:r w:rsidR="003049FC">
              <w:rPr>
                <w:webHidden/>
              </w:rPr>
              <w:instrText xml:space="preserve"> PAGEREF _Toc513116260 \h </w:instrText>
            </w:r>
            <w:r w:rsidR="003049FC">
              <w:rPr>
                <w:webHidden/>
              </w:rPr>
            </w:r>
            <w:r w:rsidR="003049FC">
              <w:rPr>
                <w:webHidden/>
              </w:rPr>
              <w:fldChar w:fldCharType="separate"/>
            </w:r>
            <w:r w:rsidR="003049FC">
              <w:rPr>
                <w:webHidden/>
              </w:rPr>
              <w:t>32</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1" w:history="1">
            <w:r w:rsidR="003049FC" w:rsidRPr="00205ACD">
              <w:rPr>
                <w:rStyle w:val="Hyperlink"/>
                <w:rFonts w:eastAsiaTheme="minorHAnsi"/>
                <w:lang w:val="en-US"/>
              </w:rPr>
              <w:t>4.2</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Expropriation of land</w:t>
            </w:r>
            <w:r w:rsidR="003049FC">
              <w:rPr>
                <w:webHidden/>
              </w:rPr>
              <w:tab/>
            </w:r>
            <w:r w:rsidR="003049FC">
              <w:rPr>
                <w:webHidden/>
              </w:rPr>
              <w:fldChar w:fldCharType="begin"/>
            </w:r>
            <w:r w:rsidR="003049FC">
              <w:rPr>
                <w:webHidden/>
              </w:rPr>
              <w:instrText xml:space="preserve"> PAGEREF _Toc513116261 \h </w:instrText>
            </w:r>
            <w:r w:rsidR="003049FC">
              <w:rPr>
                <w:webHidden/>
              </w:rPr>
            </w:r>
            <w:r w:rsidR="003049FC">
              <w:rPr>
                <w:webHidden/>
              </w:rPr>
              <w:fldChar w:fldCharType="separate"/>
            </w:r>
            <w:r w:rsidR="003049FC">
              <w:rPr>
                <w:webHidden/>
              </w:rPr>
              <w:t>36</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2" w:history="1">
            <w:r w:rsidR="003049FC" w:rsidRPr="00205ACD">
              <w:rPr>
                <w:rStyle w:val="Hyperlink"/>
                <w:rFonts w:eastAsiaTheme="minorHAnsi"/>
                <w:lang w:val="en-US"/>
              </w:rPr>
              <w:t>4.3</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Relocations</w:t>
            </w:r>
            <w:r w:rsidR="003049FC">
              <w:rPr>
                <w:webHidden/>
              </w:rPr>
              <w:tab/>
            </w:r>
            <w:r w:rsidR="003049FC">
              <w:rPr>
                <w:webHidden/>
              </w:rPr>
              <w:fldChar w:fldCharType="begin"/>
            </w:r>
            <w:r w:rsidR="003049FC">
              <w:rPr>
                <w:webHidden/>
              </w:rPr>
              <w:instrText xml:space="preserve"> PAGEREF _Toc513116262 \h </w:instrText>
            </w:r>
            <w:r w:rsidR="003049FC">
              <w:rPr>
                <w:webHidden/>
              </w:rPr>
            </w:r>
            <w:r w:rsidR="003049FC">
              <w:rPr>
                <w:webHidden/>
              </w:rPr>
              <w:fldChar w:fldCharType="separate"/>
            </w:r>
            <w:r w:rsidR="003049FC">
              <w:rPr>
                <w:webHidden/>
              </w:rPr>
              <w:t>39</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3" w:history="1">
            <w:r w:rsidR="003049FC" w:rsidRPr="00205ACD">
              <w:rPr>
                <w:rStyle w:val="Hyperlink"/>
                <w:rFonts w:eastAsiaTheme="minorHAnsi"/>
                <w:lang w:val="en-US"/>
              </w:rPr>
              <w:t>4.4</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Compensation for expropriation and relocation</w:t>
            </w:r>
            <w:r w:rsidR="003049FC">
              <w:rPr>
                <w:webHidden/>
              </w:rPr>
              <w:tab/>
            </w:r>
            <w:r w:rsidR="003049FC">
              <w:rPr>
                <w:webHidden/>
              </w:rPr>
              <w:fldChar w:fldCharType="begin"/>
            </w:r>
            <w:r w:rsidR="003049FC">
              <w:rPr>
                <w:webHidden/>
              </w:rPr>
              <w:instrText xml:space="preserve"> PAGEREF _Toc513116263 \h </w:instrText>
            </w:r>
            <w:r w:rsidR="003049FC">
              <w:rPr>
                <w:webHidden/>
              </w:rPr>
            </w:r>
            <w:r w:rsidR="003049FC">
              <w:rPr>
                <w:webHidden/>
              </w:rPr>
              <w:fldChar w:fldCharType="separate"/>
            </w:r>
            <w:r w:rsidR="003049FC">
              <w:rPr>
                <w:webHidden/>
              </w:rPr>
              <w:t>40</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4" w:history="1">
            <w:r w:rsidR="003049FC" w:rsidRPr="00205ACD">
              <w:rPr>
                <w:rStyle w:val="Hyperlink"/>
                <w:rFonts w:eastAsiaTheme="minorHAnsi"/>
                <w:lang w:val="en-US"/>
              </w:rPr>
              <w:t>4.5</w:t>
            </w:r>
            <w:r w:rsidR="003049FC">
              <w:rPr>
                <w:rFonts w:asciiTheme="minorHAnsi" w:eastAsiaTheme="minorEastAsia" w:hAnsiTheme="minorHAnsi" w:cstheme="minorBidi"/>
                <w:sz w:val="22"/>
                <w:szCs w:val="22"/>
                <w:lang w:eastAsia="en-AU"/>
              </w:rPr>
              <w:tab/>
            </w:r>
            <w:r w:rsidR="003049FC" w:rsidRPr="00205ACD">
              <w:rPr>
                <w:rStyle w:val="Hyperlink"/>
                <w:rFonts w:eastAsiaTheme="minorHAnsi"/>
                <w:lang w:val="en-US"/>
              </w:rPr>
              <w:t>Shelter cluster</w:t>
            </w:r>
            <w:r w:rsidR="003049FC">
              <w:rPr>
                <w:webHidden/>
              </w:rPr>
              <w:tab/>
            </w:r>
            <w:r w:rsidR="003049FC">
              <w:rPr>
                <w:webHidden/>
              </w:rPr>
              <w:fldChar w:fldCharType="begin"/>
            </w:r>
            <w:r w:rsidR="003049FC">
              <w:rPr>
                <w:webHidden/>
              </w:rPr>
              <w:instrText xml:space="preserve"> PAGEREF _Toc513116264 \h </w:instrText>
            </w:r>
            <w:r w:rsidR="003049FC">
              <w:rPr>
                <w:webHidden/>
              </w:rPr>
            </w:r>
            <w:r w:rsidR="003049FC">
              <w:rPr>
                <w:webHidden/>
              </w:rPr>
              <w:fldChar w:fldCharType="separate"/>
            </w:r>
            <w:r w:rsidR="003049FC">
              <w:rPr>
                <w:webHidden/>
              </w:rPr>
              <w:t>41</w:t>
            </w:r>
            <w:r w:rsidR="003049FC">
              <w:rPr>
                <w:webHidden/>
              </w:rPr>
              <w:fldChar w:fldCharType="end"/>
            </w:r>
          </w:hyperlink>
        </w:p>
        <w:p w:rsidR="003049FC" w:rsidRDefault="006A113A">
          <w:pPr>
            <w:pStyle w:val="TOC1"/>
            <w:rPr>
              <w:rFonts w:asciiTheme="minorHAnsi" w:eastAsiaTheme="minorEastAsia" w:hAnsiTheme="minorHAnsi" w:cstheme="minorBidi"/>
              <w:b w:val="0"/>
              <w:sz w:val="22"/>
              <w:szCs w:val="22"/>
              <w:lang w:eastAsia="en-AU"/>
            </w:rPr>
          </w:pPr>
          <w:hyperlink w:anchor="_Toc513116265" w:history="1">
            <w:r w:rsidR="003049FC" w:rsidRPr="00205ACD">
              <w:rPr>
                <w:rStyle w:val="Hyperlink"/>
              </w:rPr>
              <w:t>5</w:t>
            </w:r>
            <w:r w:rsidR="003049FC">
              <w:rPr>
                <w:rFonts w:asciiTheme="minorHAnsi" w:eastAsiaTheme="minorEastAsia" w:hAnsiTheme="minorHAnsi" w:cstheme="minorBidi"/>
                <w:b w:val="0"/>
                <w:sz w:val="22"/>
                <w:szCs w:val="22"/>
                <w:lang w:eastAsia="en-AU"/>
              </w:rPr>
              <w:tab/>
            </w:r>
            <w:r w:rsidR="003049FC" w:rsidRPr="00205ACD">
              <w:rPr>
                <w:rStyle w:val="Hyperlink"/>
              </w:rPr>
              <w:t>Bibliography</w:t>
            </w:r>
            <w:r w:rsidR="003049FC">
              <w:rPr>
                <w:webHidden/>
              </w:rPr>
              <w:tab/>
            </w:r>
            <w:r w:rsidR="003049FC">
              <w:rPr>
                <w:webHidden/>
              </w:rPr>
              <w:fldChar w:fldCharType="begin"/>
            </w:r>
            <w:r w:rsidR="003049FC">
              <w:rPr>
                <w:webHidden/>
              </w:rPr>
              <w:instrText xml:space="preserve"> PAGEREF _Toc513116265 \h </w:instrText>
            </w:r>
            <w:r w:rsidR="003049FC">
              <w:rPr>
                <w:webHidden/>
              </w:rPr>
            </w:r>
            <w:r w:rsidR="003049FC">
              <w:rPr>
                <w:webHidden/>
              </w:rPr>
              <w:fldChar w:fldCharType="separate"/>
            </w:r>
            <w:r w:rsidR="003049FC">
              <w:rPr>
                <w:webHidden/>
              </w:rPr>
              <w:t>42</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6" w:history="1">
            <w:r w:rsidR="003049FC" w:rsidRPr="00205ACD">
              <w:rPr>
                <w:rStyle w:val="Hyperlink"/>
              </w:rPr>
              <w:t>5.1</w:t>
            </w:r>
            <w:r w:rsidR="003049FC">
              <w:rPr>
                <w:rFonts w:asciiTheme="minorHAnsi" w:eastAsiaTheme="minorEastAsia" w:hAnsiTheme="minorHAnsi" w:cstheme="minorBidi"/>
                <w:sz w:val="22"/>
                <w:szCs w:val="22"/>
                <w:lang w:eastAsia="en-AU"/>
              </w:rPr>
              <w:tab/>
            </w:r>
            <w:r w:rsidR="003049FC" w:rsidRPr="00205ACD">
              <w:rPr>
                <w:rStyle w:val="Hyperlink"/>
              </w:rPr>
              <w:t>Legislation</w:t>
            </w:r>
            <w:r w:rsidR="003049FC">
              <w:rPr>
                <w:webHidden/>
              </w:rPr>
              <w:tab/>
            </w:r>
            <w:r w:rsidR="003049FC">
              <w:rPr>
                <w:webHidden/>
              </w:rPr>
              <w:fldChar w:fldCharType="begin"/>
            </w:r>
            <w:r w:rsidR="003049FC">
              <w:rPr>
                <w:webHidden/>
              </w:rPr>
              <w:instrText xml:space="preserve"> PAGEREF _Toc513116266 \h </w:instrText>
            </w:r>
            <w:r w:rsidR="003049FC">
              <w:rPr>
                <w:webHidden/>
              </w:rPr>
            </w:r>
            <w:r w:rsidR="003049FC">
              <w:rPr>
                <w:webHidden/>
              </w:rPr>
              <w:fldChar w:fldCharType="separate"/>
            </w:r>
            <w:r w:rsidR="003049FC">
              <w:rPr>
                <w:webHidden/>
              </w:rPr>
              <w:t>42</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7" w:history="1">
            <w:r w:rsidR="003049FC" w:rsidRPr="00205ACD">
              <w:rPr>
                <w:rStyle w:val="Hyperlink"/>
              </w:rPr>
              <w:t>5.2</w:t>
            </w:r>
            <w:r w:rsidR="003049FC">
              <w:rPr>
                <w:rFonts w:asciiTheme="minorHAnsi" w:eastAsiaTheme="minorEastAsia" w:hAnsiTheme="minorHAnsi" w:cstheme="minorBidi"/>
                <w:sz w:val="22"/>
                <w:szCs w:val="22"/>
                <w:lang w:eastAsia="en-AU"/>
              </w:rPr>
              <w:tab/>
            </w:r>
            <w:r w:rsidR="003049FC" w:rsidRPr="00205ACD">
              <w:rPr>
                <w:rStyle w:val="Hyperlink"/>
              </w:rPr>
              <w:t>Case Law</w:t>
            </w:r>
            <w:r w:rsidR="003049FC">
              <w:rPr>
                <w:webHidden/>
              </w:rPr>
              <w:tab/>
            </w:r>
            <w:r w:rsidR="003049FC">
              <w:rPr>
                <w:webHidden/>
              </w:rPr>
              <w:fldChar w:fldCharType="begin"/>
            </w:r>
            <w:r w:rsidR="003049FC">
              <w:rPr>
                <w:webHidden/>
              </w:rPr>
              <w:instrText xml:space="preserve"> PAGEREF _Toc513116267 \h </w:instrText>
            </w:r>
            <w:r w:rsidR="003049FC">
              <w:rPr>
                <w:webHidden/>
              </w:rPr>
            </w:r>
            <w:r w:rsidR="003049FC">
              <w:rPr>
                <w:webHidden/>
              </w:rPr>
              <w:fldChar w:fldCharType="separate"/>
            </w:r>
            <w:r w:rsidR="003049FC">
              <w:rPr>
                <w:webHidden/>
              </w:rPr>
              <w:t>43</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8" w:history="1">
            <w:r w:rsidR="003049FC" w:rsidRPr="00205ACD">
              <w:rPr>
                <w:rStyle w:val="Hyperlink"/>
              </w:rPr>
              <w:t>5.3</w:t>
            </w:r>
            <w:r w:rsidR="003049FC">
              <w:rPr>
                <w:rFonts w:asciiTheme="minorHAnsi" w:eastAsiaTheme="minorEastAsia" w:hAnsiTheme="minorHAnsi" w:cstheme="minorBidi"/>
                <w:sz w:val="22"/>
                <w:szCs w:val="22"/>
                <w:lang w:eastAsia="en-AU"/>
              </w:rPr>
              <w:tab/>
            </w:r>
            <w:r w:rsidR="003049FC" w:rsidRPr="00205ACD">
              <w:rPr>
                <w:rStyle w:val="Hyperlink"/>
              </w:rPr>
              <w:t>Books, Journal Articles, Papers and Reports</w:t>
            </w:r>
            <w:r w:rsidR="003049FC">
              <w:rPr>
                <w:webHidden/>
              </w:rPr>
              <w:tab/>
            </w:r>
            <w:r w:rsidR="003049FC">
              <w:rPr>
                <w:webHidden/>
              </w:rPr>
              <w:fldChar w:fldCharType="begin"/>
            </w:r>
            <w:r w:rsidR="003049FC">
              <w:rPr>
                <w:webHidden/>
              </w:rPr>
              <w:instrText xml:space="preserve"> PAGEREF _Toc513116268 \h </w:instrText>
            </w:r>
            <w:r w:rsidR="003049FC">
              <w:rPr>
                <w:webHidden/>
              </w:rPr>
            </w:r>
            <w:r w:rsidR="003049FC">
              <w:rPr>
                <w:webHidden/>
              </w:rPr>
              <w:fldChar w:fldCharType="separate"/>
            </w:r>
            <w:r w:rsidR="003049FC">
              <w:rPr>
                <w:webHidden/>
              </w:rPr>
              <w:t>43</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69" w:history="1">
            <w:r w:rsidR="003049FC" w:rsidRPr="00205ACD">
              <w:rPr>
                <w:rStyle w:val="Hyperlink"/>
              </w:rPr>
              <w:t>5.4</w:t>
            </w:r>
            <w:r w:rsidR="003049FC">
              <w:rPr>
                <w:rFonts w:asciiTheme="minorHAnsi" w:eastAsiaTheme="minorEastAsia" w:hAnsiTheme="minorHAnsi" w:cstheme="minorBidi"/>
                <w:sz w:val="22"/>
                <w:szCs w:val="22"/>
                <w:lang w:eastAsia="en-AU"/>
              </w:rPr>
              <w:tab/>
            </w:r>
            <w:r w:rsidR="003049FC" w:rsidRPr="00205ACD">
              <w:rPr>
                <w:rStyle w:val="Hyperlink"/>
              </w:rPr>
              <w:t>Domestic Government Materials</w:t>
            </w:r>
            <w:r w:rsidR="003049FC">
              <w:rPr>
                <w:webHidden/>
              </w:rPr>
              <w:tab/>
            </w:r>
            <w:r w:rsidR="003049FC">
              <w:rPr>
                <w:webHidden/>
              </w:rPr>
              <w:fldChar w:fldCharType="begin"/>
            </w:r>
            <w:r w:rsidR="003049FC">
              <w:rPr>
                <w:webHidden/>
              </w:rPr>
              <w:instrText xml:space="preserve"> PAGEREF _Toc513116269 \h </w:instrText>
            </w:r>
            <w:r w:rsidR="003049FC">
              <w:rPr>
                <w:webHidden/>
              </w:rPr>
            </w:r>
            <w:r w:rsidR="003049FC">
              <w:rPr>
                <w:webHidden/>
              </w:rPr>
              <w:fldChar w:fldCharType="separate"/>
            </w:r>
            <w:r w:rsidR="003049FC">
              <w:rPr>
                <w:webHidden/>
              </w:rPr>
              <w:t>45</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70" w:history="1">
            <w:r w:rsidR="003049FC" w:rsidRPr="00205ACD">
              <w:rPr>
                <w:rStyle w:val="Hyperlink"/>
              </w:rPr>
              <w:t>5.5</w:t>
            </w:r>
            <w:r w:rsidR="003049FC">
              <w:rPr>
                <w:rFonts w:asciiTheme="minorHAnsi" w:eastAsiaTheme="minorEastAsia" w:hAnsiTheme="minorHAnsi" w:cstheme="minorBidi"/>
                <w:sz w:val="22"/>
                <w:szCs w:val="22"/>
                <w:lang w:eastAsia="en-AU"/>
              </w:rPr>
              <w:tab/>
            </w:r>
            <w:r w:rsidR="003049FC" w:rsidRPr="00205ACD">
              <w:rPr>
                <w:rStyle w:val="Hyperlink"/>
              </w:rPr>
              <w:t>International materials</w:t>
            </w:r>
            <w:r w:rsidR="003049FC">
              <w:rPr>
                <w:webHidden/>
              </w:rPr>
              <w:tab/>
            </w:r>
            <w:r w:rsidR="003049FC">
              <w:rPr>
                <w:webHidden/>
              </w:rPr>
              <w:fldChar w:fldCharType="begin"/>
            </w:r>
            <w:r w:rsidR="003049FC">
              <w:rPr>
                <w:webHidden/>
              </w:rPr>
              <w:instrText xml:space="preserve"> PAGEREF _Toc513116270 \h </w:instrText>
            </w:r>
            <w:r w:rsidR="003049FC">
              <w:rPr>
                <w:webHidden/>
              </w:rPr>
            </w:r>
            <w:r w:rsidR="003049FC">
              <w:rPr>
                <w:webHidden/>
              </w:rPr>
              <w:fldChar w:fldCharType="separate"/>
            </w:r>
            <w:r w:rsidR="003049FC">
              <w:rPr>
                <w:webHidden/>
              </w:rPr>
              <w:t>45</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71" w:history="1">
            <w:r w:rsidR="003049FC" w:rsidRPr="00205ACD">
              <w:rPr>
                <w:rStyle w:val="Hyperlink"/>
              </w:rPr>
              <w:t>5.6</w:t>
            </w:r>
            <w:r w:rsidR="003049FC">
              <w:rPr>
                <w:rFonts w:asciiTheme="minorHAnsi" w:eastAsiaTheme="minorEastAsia" w:hAnsiTheme="minorHAnsi" w:cstheme="minorBidi"/>
                <w:sz w:val="22"/>
                <w:szCs w:val="22"/>
                <w:lang w:eastAsia="en-AU"/>
              </w:rPr>
              <w:tab/>
            </w:r>
            <w:r w:rsidR="003049FC" w:rsidRPr="00205ACD">
              <w:rPr>
                <w:rStyle w:val="Hyperlink"/>
              </w:rPr>
              <w:t>Online News Articles and Commentary</w:t>
            </w:r>
            <w:r w:rsidR="003049FC">
              <w:rPr>
                <w:webHidden/>
              </w:rPr>
              <w:tab/>
            </w:r>
            <w:r w:rsidR="003049FC">
              <w:rPr>
                <w:webHidden/>
              </w:rPr>
              <w:fldChar w:fldCharType="begin"/>
            </w:r>
            <w:r w:rsidR="003049FC">
              <w:rPr>
                <w:webHidden/>
              </w:rPr>
              <w:instrText xml:space="preserve"> PAGEREF _Toc513116271 \h </w:instrText>
            </w:r>
            <w:r w:rsidR="003049FC">
              <w:rPr>
                <w:webHidden/>
              </w:rPr>
            </w:r>
            <w:r w:rsidR="003049FC">
              <w:rPr>
                <w:webHidden/>
              </w:rPr>
              <w:fldChar w:fldCharType="separate"/>
            </w:r>
            <w:r w:rsidR="003049FC">
              <w:rPr>
                <w:webHidden/>
              </w:rPr>
              <w:t>45</w:t>
            </w:r>
            <w:r w:rsidR="003049FC">
              <w:rPr>
                <w:webHidden/>
              </w:rPr>
              <w:fldChar w:fldCharType="end"/>
            </w:r>
          </w:hyperlink>
        </w:p>
        <w:p w:rsidR="003049FC" w:rsidRDefault="006A113A">
          <w:pPr>
            <w:pStyle w:val="TOC2"/>
            <w:tabs>
              <w:tab w:val="left" w:pos="1418"/>
            </w:tabs>
            <w:rPr>
              <w:rFonts w:asciiTheme="minorHAnsi" w:eastAsiaTheme="minorEastAsia" w:hAnsiTheme="minorHAnsi" w:cstheme="minorBidi"/>
              <w:sz w:val="22"/>
              <w:szCs w:val="22"/>
              <w:lang w:eastAsia="en-AU"/>
            </w:rPr>
          </w:pPr>
          <w:hyperlink w:anchor="_Toc513116272" w:history="1">
            <w:r w:rsidR="003049FC" w:rsidRPr="00205ACD">
              <w:rPr>
                <w:rStyle w:val="Hyperlink"/>
              </w:rPr>
              <w:t>5.7</w:t>
            </w:r>
            <w:r w:rsidR="003049FC">
              <w:rPr>
                <w:rFonts w:asciiTheme="minorHAnsi" w:eastAsiaTheme="minorEastAsia" w:hAnsiTheme="minorHAnsi" w:cstheme="minorBidi"/>
                <w:sz w:val="22"/>
                <w:szCs w:val="22"/>
                <w:lang w:eastAsia="en-AU"/>
              </w:rPr>
              <w:tab/>
            </w:r>
            <w:r w:rsidR="003049FC" w:rsidRPr="00205ACD">
              <w:rPr>
                <w:rStyle w:val="Hyperlink"/>
              </w:rPr>
              <w:t>Websites</w:t>
            </w:r>
            <w:r w:rsidR="003049FC">
              <w:rPr>
                <w:webHidden/>
              </w:rPr>
              <w:tab/>
            </w:r>
            <w:r w:rsidR="003049FC">
              <w:rPr>
                <w:webHidden/>
              </w:rPr>
              <w:fldChar w:fldCharType="begin"/>
            </w:r>
            <w:r w:rsidR="003049FC">
              <w:rPr>
                <w:webHidden/>
              </w:rPr>
              <w:instrText xml:space="preserve"> PAGEREF _Toc513116272 \h </w:instrText>
            </w:r>
            <w:r w:rsidR="003049FC">
              <w:rPr>
                <w:webHidden/>
              </w:rPr>
            </w:r>
            <w:r w:rsidR="003049FC">
              <w:rPr>
                <w:webHidden/>
              </w:rPr>
              <w:fldChar w:fldCharType="separate"/>
            </w:r>
            <w:r w:rsidR="003049FC">
              <w:rPr>
                <w:webHidden/>
              </w:rPr>
              <w:t>45</w:t>
            </w:r>
            <w:r w:rsidR="003049FC">
              <w:rPr>
                <w:webHidden/>
              </w:rPr>
              <w:fldChar w:fldCharType="end"/>
            </w:r>
          </w:hyperlink>
        </w:p>
        <w:p w:rsidR="003049FC" w:rsidRDefault="006A113A">
          <w:pPr>
            <w:pStyle w:val="TOC1"/>
            <w:rPr>
              <w:rFonts w:asciiTheme="minorHAnsi" w:eastAsiaTheme="minorEastAsia" w:hAnsiTheme="minorHAnsi" w:cstheme="minorBidi"/>
              <w:b w:val="0"/>
              <w:sz w:val="22"/>
              <w:szCs w:val="22"/>
              <w:lang w:eastAsia="en-AU"/>
            </w:rPr>
          </w:pPr>
          <w:hyperlink w:anchor="_Toc513116273" w:history="1">
            <w:r w:rsidR="003049FC" w:rsidRPr="00205ACD">
              <w:rPr>
                <w:rStyle w:val="Hyperlink"/>
              </w:rPr>
              <w:t>6</w:t>
            </w:r>
            <w:r w:rsidR="003049FC">
              <w:rPr>
                <w:rFonts w:asciiTheme="minorHAnsi" w:eastAsiaTheme="minorEastAsia" w:hAnsiTheme="minorHAnsi" w:cstheme="minorBidi"/>
                <w:b w:val="0"/>
                <w:sz w:val="22"/>
                <w:szCs w:val="22"/>
                <w:lang w:eastAsia="en-AU"/>
              </w:rPr>
              <w:tab/>
            </w:r>
            <w:r w:rsidR="003049FC" w:rsidRPr="00205ACD">
              <w:rPr>
                <w:rStyle w:val="Hyperlink"/>
              </w:rPr>
              <w:t>Glossary of abbreviated and defined terms</w:t>
            </w:r>
            <w:r w:rsidR="003049FC">
              <w:rPr>
                <w:webHidden/>
              </w:rPr>
              <w:tab/>
            </w:r>
            <w:r w:rsidR="003049FC">
              <w:rPr>
                <w:webHidden/>
              </w:rPr>
              <w:fldChar w:fldCharType="begin"/>
            </w:r>
            <w:r w:rsidR="003049FC">
              <w:rPr>
                <w:webHidden/>
              </w:rPr>
              <w:instrText xml:space="preserve"> PAGEREF _Toc513116273 \h </w:instrText>
            </w:r>
            <w:r w:rsidR="003049FC">
              <w:rPr>
                <w:webHidden/>
              </w:rPr>
            </w:r>
            <w:r w:rsidR="003049FC">
              <w:rPr>
                <w:webHidden/>
              </w:rPr>
              <w:fldChar w:fldCharType="separate"/>
            </w:r>
            <w:r w:rsidR="003049FC">
              <w:rPr>
                <w:webHidden/>
              </w:rPr>
              <w:t>47</w:t>
            </w:r>
            <w:r w:rsidR="003049FC">
              <w:rPr>
                <w:webHidden/>
              </w:rPr>
              <w:fldChar w:fldCharType="end"/>
            </w:r>
          </w:hyperlink>
        </w:p>
        <w:p w:rsidR="00F92C8D" w:rsidRDefault="00F92C8D">
          <w:pPr>
            <w:spacing w:before="0" w:after="200" w:line="276" w:lineRule="auto"/>
            <w:rPr>
              <w:b/>
              <w:sz w:val="22"/>
            </w:rPr>
          </w:pPr>
          <w:r>
            <w:rPr>
              <w:b/>
              <w:noProof/>
            </w:rPr>
            <w:fldChar w:fldCharType="end"/>
          </w:r>
        </w:p>
      </w:sdtContent>
    </w:sdt>
    <w:p w:rsidR="00D93D3A" w:rsidRDefault="00D93D3A" w:rsidP="00AD1302">
      <w:pPr>
        <w:rPr>
          <w:b/>
        </w:rPr>
      </w:pPr>
      <w:r>
        <w:rPr>
          <w:b/>
        </w:rPr>
        <w:t>Acknowledgements</w:t>
      </w:r>
    </w:p>
    <w:p w:rsidR="00D93D3A" w:rsidRPr="00D93D3A" w:rsidRDefault="00D93D3A" w:rsidP="00AD1302">
      <w:r>
        <w:t>In preparing this memorandum, Allens has received extensive assistance from</w:t>
      </w:r>
      <w:r w:rsidR="00472F0B">
        <w:t xml:space="preserve"> </w:t>
      </w:r>
      <w:r w:rsidR="003C5483">
        <w:t xml:space="preserve">the HLP Team of IDEALS </w:t>
      </w:r>
      <w:proofErr w:type="spellStart"/>
      <w:r w:rsidR="00FB14E2" w:rsidRPr="00FB14E2">
        <w:t>Inc</w:t>
      </w:r>
      <w:proofErr w:type="spellEnd"/>
      <w:r>
        <w:t xml:space="preserve"> in the Philippines. Allens is</w:t>
      </w:r>
      <w:r w:rsidR="003C5483">
        <w:t xml:space="preserve"> </w:t>
      </w:r>
      <w:r>
        <w:t xml:space="preserve">grateful to </w:t>
      </w:r>
      <w:r w:rsidR="00844EF3">
        <w:t>the HLP T</w:t>
      </w:r>
      <w:r w:rsidR="00136673">
        <w:t xml:space="preserve">eam of </w:t>
      </w:r>
      <w:r w:rsidR="003C5483">
        <w:t xml:space="preserve">IDEALS </w:t>
      </w:r>
      <w:proofErr w:type="spellStart"/>
      <w:r w:rsidR="003C5483">
        <w:t>Inc</w:t>
      </w:r>
      <w:proofErr w:type="spellEnd"/>
      <w:r w:rsidR="003C5483">
        <w:t xml:space="preserve"> and Edgardo </w:t>
      </w:r>
      <w:proofErr w:type="spellStart"/>
      <w:r w:rsidR="003C5483">
        <w:t>Ligon</w:t>
      </w:r>
      <w:proofErr w:type="spellEnd"/>
      <w:r w:rsidR="00472F0B">
        <w:t xml:space="preserve"> </w:t>
      </w:r>
      <w:r>
        <w:t>f</w:t>
      </w:r>
      <w:r w:rsidRPr="00472F0B">
        <w:t xml:space="preserve">or </w:t>
      </w:r>
      <w:r w:rsidR="003C5483">
        <w:t>their</w:t>
      </w:r>
      <w:r w:rsidRPr="00472F0B">
        <w:t xml:space="preserve"> </w:t>
      </w:r>
      <w:r>
        <w:t>invaluable contribution to this research.</w:t>
      </w:r>
    </w:p>
    <w:p w:rsidR="00AD1302" w:rsidRPr="00D4796C" w:rsidRDefault="00AD1302" w:rsidP="00AD1302">
      <w:pPr>
        <w:rPr>
          <w:b/>
        </w:rPr>
      </w:pPr>
      <w:r w:rsidRPr="00D4796C">
        <w:rPr>
          <w:b/>
        </w:rPr>
        <w:t>Disclaimer</w:t>
      </w:r>
    </w:p>
    <w:p w:rsidR="00AD1302" w:rsidRPr="00687798" w:rsidRDefault="00AD1302" w:rsidP="00AD1302">
      <w:r w:rsidRPr="00E96B3D">
        <w:t>This report is the</w:t>
      </w:r>
      <w:r>
        <w:t xml:space="preserve"> result</w:t>
      </w:r>
      <w:r w:rsidR="003031C8">
        <w:t xml:space="preserve"> of a desktop review of public</w:t>
      </w:r>
      <w:r>
        <w:t>ly available information. This report is not legal advice.</w:t>
      </w:r>
    </w:p>
    <w:p w:rsidR="00D4796C" w:rsidRPr="00D4796C" w:rsidRDefault="00D4796C" w:rsidP="00D4796C"/>
    <w:p w:rsidR="004A3F7F" w:rsidRDefault="004A3F7F" w:rsidP="004A3F7F">
      <w:pPr>
        <w:pStyle w:val="AllensHeading1"/>
      </w:pPr>
      <w:bookmarkStart w:id="2" w:name="_Toc490299805"/>
      <w:bookmarkStart w:id="3" w:name="_Toc513116245"/>
      <w:r>
        <w:lastRenderedPageBreak/>
        <w:t>Introduction</w:t>
      </w:r>
      <w:bookmarkEnd w:id="2"/>
      <w:bookmarkEnd w:id="3"/>
    </w:p>
    <w:p w:rsidR="004A3F7F" w:rsidRDefault="004A3F7F" w:rsidP="004A3F7F">
      <w:pPr>
        <w:pStyle w:val="AllensHeading2"/>
      </w:pPr>
      <w:bookmarkStart w:id="4" w:name="_Toc490299806"/>
      <w:bookmarkStart w:id="5" w:name="_Toc513116246"/>
      <w:r>
        <w:t>Overview</w:t>
      </w:r>
      <w:bookmarkEnd w:id="4"/>
      <w:bookmarkEnd w:id="5"/>
    </w:p>
    <w:p w:rsidR="004A3F7F" w:rsidRDefault="004A3F7F" w:rsidP="004A3F7F">
      <w:pPr>
        <w:rPr>
          <w:lang w:val="en-GB"/>
        </w:rPr>
      </w:pPr>
      <w:r w:rsidRPr="00DA20DA">
        <w:rPr>
          <w:lang w:val="en-GB"/>
        </w:rPr>
        <w:t>The Red Cross Red Crescent aims to respond to disasters as rapidly and effectively as possible, by mobili</w:t>
      </w:r>
      <w:r>
        <w:rPr>
          <w:lang w:val="en-GB"/>
        </w:rPr>
        <w:t>s</w:t>
      </w:r>
      <w:r w:rsidRPr="00DA20DA">
        <w:rPr>
          <w:lang w:val="en-GB"/>
        </w:rPr>
        <w:t>ing its resources (people, money and other assets) and using its network in a coordinated manner so that the initial effects are countered and the needs of the affected communities are met.</w:t>
      </w:r>
    </w:p>
    <w:p w:rsidR="004A3F7F" w:rsidRDefault="004A3F7F" w:rsidP="004A3F7F">
      <w:pPr>
        <w:rPr>
          <w:lang w:val="en-GB"/>
        </w:rPr>
      </w:pPr>
      <w:r w:rsidRPr="00DA20DA">
        <w:rPr>
          <w:lang w:val="en-GB"/>
        </w:rPr>
        <w:t>The Australian Red Cross (</w:t>
      </w:r>
      <w:r w:rsidRPr="00DA20DA">
        <w:rPr>
          <w:b/>
          <w:bCs/>
          <w:i/>
          <w:iCs/>
          <w:lang w:val="en-GB"/>
        </w:rPr>
        <w:t>ARC</w:t>
      </w:r>
      <w:r w:rsidRPr="00DA20DA">
        <w:rPr>
          <w:lang w:val="en-GB"/>
        </w:rPr>
        <w:t>) is a key Partner National Society, supporting</w:t>
      </w:r>
      <w:r>
        <w:rPr>
          <w:lang w:val="en-GB"/>
        </w:rPr>
        <w:t xml:space="preserve"> </w:t>
      </w:r>
      <w:r w:rsidRPr="00DA20DA">
        <w:rPr>
          <w:lang w:val="en-GB"/>
        </w:rPr>
        <w:t>the International Federation of Red Cross and Red Crescent Societies</w:t>
      </w:r>
      <w:r>
        <w:rPr>
          <w:lang w:val="en-GB"/>
        </w:rPr>
        <w:t>'</w:t>
      </w:r>
      <w:r w:rsidRPr="00DA20DA">
        <w:rPr>
          <w:lang w:val="en-GB"/>
        </w:rPr>
        <w:t xml:space="preserve"> (</w:t>
      </w:r>
      <w:r w:rsidRPr="00136673">
        <w:rPr>
          <w:b/>
          <w:bCs/>
          <w:i/>
          <w:lang w:val="en-GB"/>
        </w:rPr>
        <w:t>IFRC</w:t>
      </w:r>
      <w:r w:rsidRPr="00DA20DA">
        <w:rPr>
          <w:lang w:val="en-GB"/>
        </w:rPr>
        <w:t>) response to natural disasters in the A</w:t>
      </w:r>
      <w:r>
        <w:rPr>
          <w:lang w:val="en-GB"/>
        </w:rPr>
        <w:t>sia-Pacific.</w:t>
      </w:r>
    </w:p>
    <w:p w:rsidR="004A3F7F" w:rsidRDefault="004A3F7F" w:rsidP="004A3F7F">
      <w:pPr>
        <w:rPr>
          <w:lang w:val="en-GB"/>
        </w:rPr>
      </w:pPr>
      <w:r w:rsidRPr="00DA20DA">
        <w:rPr>
          <w:lang w:val="en-GB"/>
        </w:rPr>
        <w:t>The Red Cross Red Crescent has identified that better knowledge of local housing, land and property laws in the Asia-Pacific is vital to ensuring that emergency shelter is delivered efficiently and equitably in the aftermath of natural disaste</w:t>
      </w:r>
      <w:r>
        <w:rPr>
          <w:lang w:val="en-GB"/>
        </w:rPr>
        <w:t>rs.</w:t>
      </w:r>
    </w:p>
    <w:p w:rsidR="004A3F7F" w:rsidRDefault="004A3F7F" w:rsidP="004A3F7F">
      <w:r>
        <w:rPr>
          <w:lang w:val="en-GB"/>
        </w:rPr>
        <w:t>ARC</w:t>
      </w:r>
      <w:r w:rsidRPr="00DA20DA">
        <w:rPr>
          <w:lang w:val="en-GB"/>
        </w:rPr>
        <w:t xml:space="preserve">, with technical support and initial research from IFRC, has provided the research template to which this memorandum responds. </w:t>
      </w:r>
      <w:r>
        <w:t>This memorandum comprises three main sections.</w:t>
      </w:r>
    </w:p>
    <w:p w:rsidR="004A3F7F" w:rsidRPr="00823A3A" w:rsidRDefault="004A3F7F" w:rsidP="004A3F7F">
      <w:pPr>
        <w:pStyle w:val="Bullet1"/>
        <w:rPr>
          <w:rFonts w:cs="Arial"/>
        </w:rPr>
      </w:pPr>
      <w:r w:rsidRPr="00FB14E2">
        <w:rPr>
          <w:rFonts w:cs="Arial"/>
        </w:rPr>
        <w:t>The firs</w:t>
      </w:r>
      <w:r w:rsidRPr="00823A3A">
        <w:rPr>
          <w:rFonts w:cs="Arial"/>
        </w:rPr>
        <w:t xml:space="preserve">t section, entitled </w:t>
      </w:r>
      <w:hyperlink w:anchor="CommonTenure" w:history="1">
        <w:r w:rsidRPr="00823A3A">
          <w:rPr>
            <w:rStyle w:val="Hyperlink"/>
            <w:rFonts w:cs="Arial"/>
            <w:color w:val="auto"/>
            <w:u w:val="none"/>
          </w:rPr>
          <w:t>'common tenure types'</w:t>
        </w:r>
      </w:hyperlink>
      <w:r w:rsidRPr="00823A3A">
        <w:rPr>
          <w:rFonts w:cs="Arial"/>
        </w:rPr>
        <w:t xml:space="preserve">, provides an overview of the different types of </w:t>
      </w:r>
      <w:r w:rsidRPr="00823A3A">
        <w:t>housing</w:t>
      </w:r>
      <w:r w:rsidRPr="00823A3A">
        <w:rPr>
          <w:rFonts w:cs="Arial"/>
        </w:rPr>
        <w:t xml:space="preserve"> and land tenure in the Philippines. It outlines the methods used to create and transfer tenure, and analyses the degree of security of tenure afforded by each form of tenure.</w:t>
      </w:r>
    </w:p>
    <w:p w:rsidR="004A3F7F" w:rsidRPr="00823A3A" w:rsidRDefault="004A3F7F" w:rsidP="004A3F7F">
      <w:pPr>
        <w:pStyle w:val="Bullet1"/>
        <w:rPr>
          <w:rFonts w:cs="Arial"/>
        </w:rPr>
      </w:pPr>
      <w:r w:rsidRPr="00823A3A">
        <w:rPr>
          <w:rFonts w:cs="Arial"/>
        </w:rPr>
        <w:t>The second section, entitled '</w:t>
      </w:r>
      <w:hyperlink w:anchor="SecurityofTenure" w:history="1">
        <w:r w:rsidRPr="00823A3A">
          <w:rPr>
            <w:rStyle w:val="Hyperlink"/>
            <w:rFonts w:cs="Arial"/>
            <w:color w:val="auto"/>
            <w:u w:val="none"/>
          </w:rPr>
          <w:t>security of tenure of vulnerable groups</w:t>
        </w:r>
      </w:hyperlink>
      <w:r w:rsidRPr="00823A3A">
        <w:rPr>
          <w:rFonts w:cs="Arial"/>
        </w:rPr>
        <w:t xml:space="preserve">', considers whether, and to what </w:t>
      </w:r>
      <w:r w:rsidRPr="00823A3A">
        <w:t>extent</w:t>
      </w:r>
      <w:r w:rsidRPr="00823A3A">
        <w:rPr>
          <w:rFonts w:cs="Arial"/>
        </w:rPr>
        <w:t>, certain groups face legal barriers to owning or accessing land and housing. This section focuses primarily on women,</w:t>
      </w:r>
      <w:r w:rsidRPr="00823A3A">
        <w:rPr>
          <w:rFonts w:cs="Arial"/>
          <w:b/>
        </w:rPr>
        <w:t xml:space="preserve"> </w:t>
      </w:r>
      <w:r w:rsidRPr="00823A3A">
        <w:rPr>
          <w:rFonts w:cs="Arial"/>
        </w:rPr>
        <w:t>minority groups, indigenous groups and landless people, each of which face particular legal barriers.</w:t>
      </w:r>
    </w:p>
    <w:p w:rsidR="004A3F7F" w:rsidRDefault="004A3F7F" w:rsidP="004A3F7F">
      <w:pPr>
        <w:pStyle w:val="Bullet1"/>
        <w:rPr>
          <w:rFonts w:cs="Arial"/>
        </w:rPr>
      </w:pPr>
      <w:r w:rsidRPr="00823A3A">
        <w:rPr>
          <w:rFonts w:cs="Arial"/>
        </w:rPr>
        <w:t>The third section, entitled '</w:t>
      </w:r>
      <w:hyperlink w:anchor="EvictionExpropriationRelocation" w:history="1">
        <w:r w:rsidRPr="00823A3A">
          <w:rPr>
            <w:rStyle w:val="Hyperlink"/>
            <w:rFonts w:cs="Arial"/>
            <w:color w:val="auto"/>
            <w:u w:val="none"/>
          </w:rPr>
          <w:t>eviction, expropriation and relocation</w:t>
        </w:r>
      </w:hyperlink>
      <w:r w:rsidRPr="00823A3A">
        <w:rPr>
          <w:rFonts w:cs="Arial"/>
        </w:rPr>
        <w:t>', considers the Filipino statutory and case law which governs, or is applicable to, forced evictions, compulsory acquisition of land and relocations. This section also considers whether compensation is ava</w:t>
      </w:r>
      <w:r w:rsidRPr="00FB14E2">
        <w:rPr>
          <w:rFonts w:cs="Arial"/>
        </w:rPr>
        <w:t>ilable in these situations.</w:t>
      </w:r>
    </w:p>
    <w:p w:rsidR="00AB6C38" w:rsidRPr="00FB14E2" w:rsidRDefault="00AB6C38" w:rsidP="00AB6C38">
      <w:pPr>
        <w:pStyle w:val="Bullet1"/>
        <w:numPr>
          <w:ilvl w:val="0"/>
          <w:numId w:val="0"/>
        </w:numPr>
        <w:rPr>
          <w:rFonts w:cs="Arial"/>
        </w:rPr>
      </w:pPr>
      <w:r>
        <w:rPr>
          <w:rFonts w:cs="Arial"/>
        </w:rPr>
        <w:t xml:space="preserve">Section </w:t>
      </w:r>
      <w:r w:rsidR="00913CE4">
        <w:rPr>
          <w:rFonts w:cs="Arial"/>
        </w:rPr>
        <w:fldChar w:fldCharType="begin"/>
      </w:r>
      <w:r w:rsidR="00913CE4">
        <w:rPr>
          <w:rFonts w:cs="Arial"/>
        </w:rPr>
        <w:instrText xml:space="preserve"> REF _Ref496878492 \r \h </w:instrText>
      </w:r>
      <w:r w:rsidR="00913CE4">
        <w:rPr>
          <w:rFonts w:cs="Arial"/>
        </w:rPr>
      </w:r>
      <w:r w:rsidR="00913CE4">
        <w:rPr>
          <w:rFonts w:cs="Arial"/>
        </w:rPr>
        <w:fldChar w:fldCharType="separate"/>
      </w:r>
      <w:r w:rsidR="003049FC">
        <w:rPr>
          <w:rFonts w:cs="Arial"/>
        </w:rPr>
        <w:t>5</w:t>
      </w:r>
      <w:r w:rsidR="00913CE4">
        <w:rPr>
          <w:rFonts w:cs="Arial"/>
        </w:rPr>
        <w:fldChar w:fldCharType="end"/>
      </w:r>
      <w:r>
        <w:rPr>
          <w:rFonts w:cs="Arial"/>
        </w:rPr>
        <w:t xml:space="preserve"> contains a Bibliography of resources referenced in the preparation of this memorandum and section </w:t>
      </w:r>
      <w:r w:rsidR="00913CE4">
        <w:rPr>
          <w:rFonts w:cs="Arial"/>
        </w:rPr>
        <w:fldChar w:fldCharType="begin"/>
      </w:r>
      <w:r w:rsidR="00913CE4">
        <w:rPr>
          <w:rFonts w:cs="Arial"/>
        </w:rPr>
        <w:instrText xml:space="preserve"> REF _Ref496878499 \r \h </w:instrText>
      </w:r>
      <w:r w:rsidR="00913CE4">
        <w:rPr>
          <w:rFonts w:cs="Arial"/>
        </w:rPr>
      </w:r>
      <w:r w:rsidR="00913CE4">
        <w:rPr>
          <w:rFonts w:cs="Arial"/>
        </w:rPr>
        <w:fldChar w:fldCharType="separate"/>
      </w:r>
      <w:r w:rsidR="003049FC">
        <w:rPr>
          <w:rFonts w:cs="Arial"/>
        </w:rPr>
        <w:t>6</w:t>
      </w:r>
      <w:r w:rsidR="00913CE4">
        <w:rPr>
          <w:rFonts w:cs="Arial"/>
        </w:rPr>
        <w:fldChar w:fldCharType="end"/>
      </w:r>
      <w:r w:rsidR="00913CE4">
        <w:rPr>
          <w:rFonts w:cs="Arial"/>
        </w:rPr>
        <w:t xml:space="preserve"> sets out a glossary of abbreviated and defined terms for ease of reference.</w:t>
      </w:r>
    </w:p>
    <w:p w:rsidR="004A3F7F" w:rsidRDefault="004A3F7F" w:rsidP="004A3F7F">
      <w:pPr>
        <w:pStyle w:val="AllensHeading2"/>
        <w:tabs>
          <w:tab w:val="clear" w:pos="709"/>
          <w:tab w:val="num" w:pos="2465"/>
        </w:tabs>
        <w:jc w:val="both"/>
      </w:pPr>
      <w:bookmarkStart w:id="6" w:name="_Ref474342161"/>
      <w:bookmarkStart w:id="7" w:name="_Toc490299807"/>
      <w:bookmarkStart w:id="8" w:name="_Toc513116247"/>
      <w:r>
        <w:t xml:space="preserve">Background information on </w:t>
      </w:r>
      <w:bookmarkEnd w:id="6"/>
      <w:r>
        <w:t>the Philippines</w:t>
      </w:r>
      <w:bookmarkEnd w:id="7"/>
      <w:bookmarkEnd w:id="8"/>
    </w:p>
    <w:p w:rsidR="004A3F7F" w:rsidRPr="0063639E" w:rsidRDefault="004A3F7F" w:rsidP="004A3F7F">
      <w:pPr>
        <w:rPr>
          <w:lang w:val="en"/>
        </w:rPr>
      </w:pPr>
      <w:r w:rsidRPr="0063639E">
        <w:rPr>
          <w:lang w:val="en"/>
        </w:rPr>
        <w:t>The Philippines is located southeast of mainland Asia in the Pac</w:t>
      </w:r>
      <w:r w:rsidRPr="00910856">
        <w:rPr>
          <w:lang w:val="en"/>
        </w:rPr>
        <w:t>i</w:t>
      </w:r>
      <w:r w:rsidRPr="0063639E">
        <w:rPr>
          <w:lang w:val="en"/>
        </w:rPr>
        <w:t>fic Ocean and is made up of 7,107 islands.</w:t>
      </w:r>
      <w:bookmarkStart w:id="9" w:name="_Ref504460633"/>
      <w:r>
        <w:rPr>
          <w:rStyle w:val="FootnoteReference"/>
          <w:lang w:val="en"/>
        </w:rPr>
        <w:footnoteReference w:id="1"/>
      </w:r>
      <w:bookmarkEnd w:id="9"/>
      <w:r w:rsidRPr="0063639E">
        <w:rPr>
          <w:lang w:val="en"/>
        </w:rPr>
        <w:t xml:space="preserve"> The total land area, inclusive of inland bodies of water, is approximately 300,000 square </w:t>
      </w:r>
      <w:proofErr w:type="spellStart"/>
      <w:r w:rsidRPr="0063639E">
        <w:rPr>
          <w:lang w:val="en"/>
        </w:rPr>
        <w:t>kilometr</w:t>
      </w:r>
      <w:r w:rsidR="003C5483">
        <w:rPr>
          <w:lang w:val="en"/>
        </w:rPr>
        <w:t>e</w:t>
      </w:r>
      <w:r w:rsidRPr="0063639E">
        <w:rPr>
          <w:lang w:val="en"/>
        </w:rPr>
        <w:t>s</w:t>
      </w:r>
      <w:proofErr w:type="spellEnd"/>
      <w:r w:rsidRPr="0063639E">
        <w:rPr>
          <w:lang w:val="en"/>
        </w:rPr>
        <w:t>.</w:t>
      </w:r>
      <w:r>
        <w:rPr>
          <w:rStyle w:val="FootnoteReference"/>
          <w:lang w:val="en"/>
        </w:rPr>
        <w:footnoteReference w:id="2"/>
      </w:r>
      <w:r>
        <w:rPr>
          <w:lang w:val="en"/>
        </w:rPr>
        <w:t xml:space="preserve"> </w:t>
      </w:r>
      <w:r w:rsidRPr="0063639E">
        <w:t>Bound by the Sulu Sea, the Celebes Sea and the coastal waters of Borneo, the Philippines has over 35</w:t>
      </w:r>
      <w:proofErr w:type="gramStart"/>
      <w:r w:rsidRPr="0063639E">
        <w:t>,0000</w:t>
      </w:r>
      <w:proofErr w:type="gramEnd"/>
      <w:r w:rsidR="003C5483">
        <w:t xml:space="preserve"> kilometres</w:t>
      </w:r>
      <w:r w:rsidRPr="0063639E">
        <w:t xml:space="preserve"> of coastline.</w:t>
      </w:r>
      <w:r w:rsidRPr="0063639E">
        <w:rPr>
          <w:vertAlign w:val="superscript"/>
        </w:rPr>
        <w:footnoteReference w:id="3"/>
      </w:r>
      <w:r>
        <w:t xml:space="preserve"> </w:t>
      </w:r>
      <w:r w:rsidRPr="0063639E">
        <w:rPr>
          <w:lang w:val="en"/>
        </w:rPr>
        <w:t>The islands are divided into three main groups – the northern group of Luzon</w:t>
      </w:r>
      <w:r>
        <w:rPr>
          <w:lang w:val="en"/>
        </w:rPr>
        <w:t>,</w:t>
      </w:r>
      <w:r w:rsidRPr="0063639E">
        <w:rPr>
          <w:lang w:val="en"/>
        </w:rPr>
        <w:t xml:space="preserve"> Mindanao and the </w:t>
      </w:r>
      <w:proofErr w:type="spellStart"/>
      <w:r w:rsidRPr="0063639E">
        <w:rPr>
          <w:lang w:val="en"/>
        </w:rPr>
        <w:t>Visayas</w:t>
      </w:r>
      <w:proofErr w:type="spellEnd"/>
      <w:r w:rsidRPr="0063639E">
        <w:rPr>
          <w:lang w:val="en"/>
        </w:rPr>
        <w:t xml:space="preserve">. Within those three groups are </w:t>
      </w:r>
      <w:r>
        <w:rPr>
          <w:lang w:val="en"/>
        </w:rPr>
        <w:t xml:space="preserve">a number of </w:t>
      </w:r>
      <w:r w:rsidRPr="0063639E">
        <w:rPr>
          <w:lang w:val="en"/>
        </w:rPr>
        <w:t>administrative regions</w:t>
      </w:r>
      <w:r>
        <w:rPr>
          <w:lang w:val="en"/>
        </w:rPr>
        <w:t>.</w:t>
      </w:r>
      <w:r w:rsidRPr="0063639E">
        <w:rPr>
          <w:lang w:val="en"/>
        </w:rPr>
        <w:t xml:space="preserve"> </w:t>
      </w:r>
    </w:p>
    <w:p w:rsidR="004A3F7F" w:rsidRDefault="004A3F7F" w:rsidP="004A3F7F">
      <w:pPr>
        <w:pStyle w:val="NormalIndent"/>
        <w:ind w:left="0"/>
        <w:jc w:val="both"/>
      </w:pPr>
      <w:r>
        <w:rPr>
          <w:noProof/>
          <w:lang w:val="es-EC" w:eastAsia="es-EC"/>
        </w:rPr>
        <w:lastRenderedPageBreak/>
        <w:drawing>
          <wp:inline distT="0" distB="0" distL="0" distR="0" wp14:anchorId="5427DDCC" wp14:editId="1874C596">
            <wp:extent cx="5146159" cy="5605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6407" cy="5606223"/>
                    </a:xfrm>
                    <a:prstGeom prst="rect">
                      <a:avLst/>
                    </a:prstGeom>
                    <a:noFill/>
                    <a:ln>
                      <a:noFill/>
                    </a:ln>
                  </pic:spPr>
                </pic:pic>
              </a:graphicData>
            </a:graphic>
          </wp:inline>
        </w:drawing>
      </w:r>
    </w:p>
    <w:p w:rsidR="004A3F7F" w:rsidRPr="004A3F7F" w:rsidRDefault="004A3F7F" w:rsidP="004A3F7F">
      <w:pPr>
        <w:pStyle w:val="NormalIndent"/>
        <w:ind w:left="0"/>
        <w:rPr>
          <w:sz w:val="16"/>
        </w:rPr>
      </w:pPr>
      <w:r w:rsidRPr="004A3F7F">
        <w:rPr>
          <w:sz w:val="16"/>
        </w:rPr>
        <w:t xml:space="preserve">(Map sourced from </w:t>
      </w:r>
      <w:proofErr w:type="spellStart"/>
      <w:r w:rsidRPr="004A3F7F">
        <w:rPr>
          <w:sz w:val="16"/>
        </w:rPr>
        <w:t>GeoCurrents</w:t>
      </w:r>
      <w:proofErr w:type="spellEnd"/>
      <w:r w:rsidRPr="004A3F7F">
        <w:rPr>
          <w:sz w:val="16"/>
        </w:rPr>
        <w:t xml:space="preserve">, 'Philippines Regions' </w:t>
      </w:r>
      <w:r w:rsidR="008D0015">
        <w:rPr>
          <w:sz w:val="16"/>
        </w:rPr>
        <w:t>&lt;</w:t>
      </w:r>
      <w:r w:rsidRPr="008D0015">
        <w:rPr>
          <w:sz w:val="16"/>
        </w:rPr>
        <w:t>http://www.geocurrents.info/gc-maps/geocurrents-maps-by-country/geocurrents-maps-of-the-philippines</w:t>
      </w:r>
      <w:r w:rsidR="008D0015">
        <w:rPr>
          <w:sz w:val="16"/>
        </w:rPr>
        <w:t>&gt;</w:t>
      </w:r>
      <w:r w:rsidRPr="004A3F7F">
        <w:rPr>
          <w:sz w:val="16"/>
        </w:rPr>
        <w:t xml:space="preserve">) </w:t>
      </w:r>
    </w:p>
    <w:p w:rsidR="004A3F7F" w:rsidRDefault="004A3F7F" w:rsidP="004A3F7F">
      <w:r w:rsidRPr="0063639E">
        <w:t>According to the 2015 census</w:t>
      </w:r>
      <w:bookmarkStart w:id="10" w:name="_Ref504404582"/>
      <w:r w:rsidR="00FB44BD">
        <w:t>:</w:t>
      </w:r>
      <w:r>
        <w:rPr>
          <w:rStyle w:val="FootnoteReference"/>
        </w:rPr>
        <w:footnoteReference w:id="4"/>
      </w:r>
      <w:bookmarkEnd w:id="10"/>
    </w:p>
    <w:p w:rsidR="004A3F7F" w:rsidRDefault="00AE0A3D" w:rsidP="004A3F7F">
      <w:pPr>
        <w:pStyle w:val="Bullet1"/>
      </w:pPr>
      <w:r>
        <w:t xml:space="preserve">The </w:t>
      </w:r>
      <w:r w:rsidR="004A3F7F" w:rsidRPr="0063639E">
        <w:t xml:space="preserve">Philippines </w:t>
      </w:r>
      <w:r w:rsidR="004A3F7F" w:rsidRPr="005B6E9F">
        <w:rPr>
          <w:rFonts w:cs="Arial"/>
        </w:rPr>
        <w:t>has</w:t>
      </w:r>
      <w:r w:rsidR="004A3F7F" w:rsidRPr="0063639E">
        <w:t xml:space="preserve"> a population of approximately 101 million people. This represented </w:t>
      </w:r>
      <w:r w:rsidR="004A3F7F">
        <w:t xml:space="preserve">an increase of </w:t>
      </w:r>
      <w:r w:rsidR="004A3F7F" w:rsidRPr="0063639E">
        <w:t>8.6</w:t>
      </w:r>
      <w:r w:rsidR="00E9052B">
        <w:t>4</w:t>
      </w:r>
      <w:r w:rsidR="004A3F7F" w:rsidRPr="0063639E">
        <w:t xml:space="preserve"> million people </w:t>
      </w:r>
      <w:r w:rsidR="004A3F7F">
        <w:t>from the 2010 census population records</w:t>
      </w:r>
      <w:r w:rsidR="004A3F7F" w:rsidRPr="0063639E">
        <w:t>.</w:t>
      </w:r>
    </w:p>
    <w:p w:rsidR="004A3F7F" w:rsidRDefault="004A3F7F" w:rsidP="004A3F7F">
      <w:pPr>
        <w:pStyle w:val="Bullet1"/>
      </w:pPr>
      <w:r w:rsidRPr="0063639E">
        <w:t>Among the coun</w:t>
      </w:r>
      <w:r>
        <w:t>try's 18 administrative regions</w:t>
      </w:r>
      <w:r w:rsidRPr="0063639E">
        <w:t xml:space="preserve">, </w:t>
      </w:r>
      <w:r w:rsidR="000A5AC0" w:rsidRPr="0063639E">
        <w:t>CALABARZON</w:t>
      </w:r>
      <w:r w:rsidR="00FE4861">
        <w:rPr>
          <w:rStyle w:val="FootnoteReference"/>
        </w:rPr>
        <w:footnoteReference w:id="5"/>
      </w:r>
      <w:r w:rsidRPr="0063639E">
        <w:t xml:space="preserve"> </w:t>
      </w:r>
      <w:r>
        <w:t xml:space="preserve">in Luzon </w:t>
      </w:r>
      <w:r w:rsidRPr="0063639E">
        <w:t xml:space="preserve">had the </w:t>
      </w:r>
      <w:r>
        <w:t xml:space="preserve">largest </w:t>
      </w:r>
      <w:r w:rsidRPr="0063639E">
        <w:t xml:space="preserve">population with 14.41 million, followed by the National Capital Region </w:t>
      </w:r>
      <w:r>
        <w:t xml:space="preserve">(including Manila) in Luzon </w:t>
      </w:r>
      <w:r w:rsidRPr="0063639E">
        <w:t>with 12.88 million and then Central Luzon</w:t>
      </w:r>
      <w:r>
        <w:t>,</w:t>
      </w:r>
      <w:r w:rsidRPr="0063639E">
        <w:t xml:space="preserve"> </w:t>
      </w:r>
      <w:r>
        <w:t xml:space="preserve">also in Luzon, </w:t>
      </w:r>
      <w:r w:rsidRPr="0063639E">
        <w:t>with 11.22 million.</w:t>
      </w:r>
      <w:r>
        <w:t xml:space="preserve"> </w:t>
      </w:r>
      <w:r w:rsidRPr="0063639E">
        <w:t>The combined population of these three regions accounted for 38.1 per cen</w:t>
      </w:r>
      <w:r>
        <w:t>t of the Philippine population.</w:t>
      </w:r>
      <w:r w:rsidRPr="0063639E">
        <w:rPr>
          <w:vertAlign w:val="superscript"/>
        </w:rPr>
        <w:footnoteReference w:id="6"/>
      </w:r>
    </w:p>
    <w:p w:rsidR="004A3F7F" w:rsidRPr="0063639E" w:rsidRDefault="004A3F7F" w:rsidP="004A3F7F">
      <w:pPr>
        <w:pStyle w:val="Bullet1"/>
      </w:pPr>
      <w:r w:rsidRPr="0063639E">
        <w:lastRenderedPageBreak/>
        <w:t xml:space="preserve">The population density </w:t>
      </w:r>
      <w:r>
        <w:t xml:space="preserve">was </w:t>
      </w:r>
      <w:r w:rsidRPr="0063639E">
        <w:t xml:space="preserve">335 persons per square kilometre, which marked an increase of 29 persons per square kilometre </w:t>
      </w:r>
      <w:r>
        <w:t>fr</w:t>
      </w:r>
      <w:r w:rsidRPr="0063639E">
        <w:t>om the population density in 2010.</w:t>
      </w:r>
      <w:r>
        <w:t xml:space="preserve"> </w:t>
      </w:r>
      <w:r w:rsidRPr="0063639E">
        <w:t xml:space="preserve">The most densely populated </w:t>
      </w:r>
      <w:r>
        <w:t xml:space="preserve">area </w:t>
      </w:r>
      <w:r w:rsidRPr="0063639E">
        <w:t>was the National Capital Region</w:t>
      </w:r>
      <w:r>
        <w:t xml:space="preserve"> (in Luzon)</w:t>
      </w:r>
      <w:r w:rsidRPr="0063639E">
        <w:t xml:space="preserve">. </w:t>
      </w:r>
    </w:p>
    <w:p w:rsidR="004A3F7F" w:rsidRPr="0063639E" w:rsidRDefault="004A3F7F" w:rsidP="004A3F7F">
      <w:proofErr w:type="gramStart"/>
      <w:r w:rsidRPr="0063639E">
        <w:t xml:space="preserve">Between 44-49 </w:t>
      </w:r>
      <w:r>
        <w:t>per cent</w:t>
      </w:r>
      <w:r>
        <w:rPr>
          <w:rStyle w:val="FootnoteReference"/>
        </w:rPr>
        <w:footnoteReference w:id="7"/>
      </w:r>
      <w:r w:rsidRPr="0063639E">
        <w:t xml:space="preserve"> of the </w:t>
      </w:r>
      <w:r>
        <w:t xml:space="preserve">Filipino </w:t>
      </w:r>
      <w:r w:rsidRPr="0063639E">
        <w:t>population lives in urban areas.</w:t>
      </w:r>
      <w:proofErr w:type="gramEnd"/>
      <w:r w:rsidRPr="0063639E">
        <w:rPr>
          <w:vertAlign w:val="superscript"/>
        </w:rPr>
        <w:footnoteReference w:id="8"/>
      </w:r>
      <w:r w:rsidRPr="0063639E">
        <w:t xml:space="preserve"> The urban growth rate remains higher than the national growth rate and over three-quarters of the total population are projected to be living in urban areas by 2030.</w:t>
      </w:r>
      <w:r>
        <w:rPr>
          <w:rStyle w:val="FootnoteReference"/>
          <w:lang w:val="en"/>
        </w:rPr>
        <w:footnoteReference w:id="9"/>
      </w:r>
      <w:r w:rsidRPr="0063639E">
        <w:t xml:space="preserve"> </w:t>
      </w:r>
    </w:p>
    <w:p w:rsidR="004A3F7F" w:rsidRPr="0063639E" w:rsidRDefault="004A3F7F" w:rsidP="004A3F7F">
      <w:pPr>
        <w:rPr>
          <w:b/>
        </w:rPr>
      </w:pPr>
      <w:r w:rsidRPr="0063639E">
        <w:t>The Philippines has 33 formally declared highly urbanised cities (</w:t>
      </w:r>
      <w:r w:rsidRPr="00460585">
        <w:rPr>
          <w:b/>
          <w:i/>
        </w:rPr>
        <w:t>HUCs</w:t>
      </w:r>
      <w:r w:rsidRPr="0063639E">
        <w:t>). Four of these HUCs surpassed the one million population mark between 2010 and 2015, namely Quezon City (2.94 million) City of Manila (1.78 million), Davao City (1.63 million), and Caloocan City (1.58 million).</w:t>
      </w:r>
      <w:r>
        <w:rPr>
          <w:rStyle w:val="FootnoteReference"/>
          <w:lang w:val="en"/>
        </w:rPr>
        <w:footnoteReference w:id="10"/>
      </w:r>
      <w:r w:rsidRPr="0063639E">
        <w:t xml:space="preserve"> </w:t>
      </w:r>
      <w:r w:rsidRPr="0063639E">
        <w:rPr>
          <w:lang w:val="en"/>
        </w:rPr>
        <w:t xml:space="preserve">Metro Manila, </w:t>
      </w:r>
      <w:r>
        <w:rPr>
          <w:lang w:val="en"/>
        </w:rPr>
        <w:t xml:space="preserve">comprising of 16 different HUCs, </w:t>
      </w:r>
      <w:r w:rsidRPr="0063639E">
        <w:rPr>
          <w:lang w:val="en"/>
        </w:rPr>
        <w:t xml:space="preserve">with a population of over 10 million is by far the largest </w:t>
      </w:r>
      <w:r>
        <w:rPr>
          <w:lang w:val="en"/>
        </w:rPr>
        <w:t xml:space="preserve">overall </w:t>
      </w:r>
      <w:r w:rsidRPr="0063639E">
        <w:rPr>
          <w:lang w:val="en"/>
        </w:rPr>
        <w:t>city.</w:t>
      </w:r>
      <w:r w:rsidRPr="0063639E">
        <w:rPr>
          <w:vertAlign w:val="superscript"/>
          <w:lang w:val="en"/>
        </w:rPr>
        <w:footnoteReference w:id="11"/>
      </w:r>
    </w:p>
    <w:p w:rsidR="004A3F7F" w:rsidRPr="0063639E" w:rsidRDefault="004A3F7F" w:rsidP="004A3F7F">
      <w:r w:rsidRPr="0063639E">
        <w:t>The Philippines is immensely ethnically and linguistically diverse</w:t>
      </w:r>
      <w:r w:rsidR="00910856">
        <w:t>.</w:t>
      </w:r>
      <w:r w:rsidR="00910856">
        <w:rPr>
          <w:rStyle w:val="FootnoteReference"/>
          <w:lang w:val="en"/>
        </w:rPr>
        <w:footnoteReference w:id="12"/>
      </w:r>
      <w:r w:rsidRPr="0063639E">
        <w:t xml:space="preserve"> </w:t>
      </w:r>
      <w:r w:rsidR="00910856">
        <w:t>Major ethnic groups include</w:t>
      </w:r>
      <w:r w:rsidRPr="0063639E">
        <w:t xml:space="preserve">: </w:t>
      </w:r>
    </w:p>
    <w:p w:rsidR="004A3F7F" w:rsidRPr="005458DE" w:rsidRDefault="004A3F7F" w:rsidP="006A5154">
      <w:pPr>
        <w:pStyle w:val="Bullet1"/>
      </w:pPr>
      <w:r w:rsidRPr="005458DE">
        <w:t xml:space="preserve">Tagalog; </w:t>
      </w:r>
    </w:p>
    <w:p w:rsidR="004A3F7F" w:rsidRPr="005458DE" w:rsidRDefault="004A3F7F" w:rsidP="006A5154">
      <w:pPr>
        <w:pStyle w:val="Bullet1"/>
      </w:pPr>
      <w:r w:rsidRPr="005458DE">
        <w:t xml:space="preserve">Cebuano; </w:t>
      </w:r>
    </w:p>
    <w:p w:rsidR="004A3F7F" w:rsidRPr="005458DE" w:rsidRDefault="004A3F7F" w:rsidP="006A5154">
      <w:pPr>
        <w:pStyle w:val="Bullet1"/>
      </w:pPr>
      <w:r w:rsidRPr="005458DE">
        <w:t xml:space="preserve">Ilocano; </w:t>
      </w:r>
    </w:p>
    <w:p w:rsidR="004A3F7F" w:rsidRPr="005458DE" w:rsidRDefault="004A3F7F" w:rsidP="006A5154">
      <w:pPr>
        <w:pStyle w:val="Bullet1"/>
      </w:pPr>
      <w:r w:rsidRPr="005458DE">
        <w:t xml:space="preserve">Hiligaynon Ilonggo; </w:t>
      </w:r>
    </w:p>
    <w:p w:rsidR="004A3F7F" w:rsidRPr="005458DE" w:rsidRDefault="002B360D" w:rsidP="006A5154">
      <w:pPr>
        <w:pStyle w:val="Bullet1"/>
      </w:pPr>
      <w:r>
        <w:t>Bic</w:t>
      </w:r>
      <w:r w:rsidR="004A3F7F" w:rsidRPr="005458DE">
        <w:t>o</w:t>
      </w:r>
      <w:r w:rsidR="00910856">
        <w:t>lano</w:t>
      </w:r>
      <w:r w:rsidR="004A3F7F" w:rsidRPr="005458DE">
        <w:t xml:space="preserve">; </w:t>
      </w:r>
      <w:r w:rsidR="00910856">
        <w:t>and</w:t>
      </w:r>
    </w:p>
    <w:p w:rsidR="004A3F7F" w:rsidRPr="005458DE" w:rsidRDefault="00910856" w:rsidP="006A5154">
      <w:pPr>
        <w:pStyle w:val="Bullet1"/>
      </w:pPr>
      <w:proofErr w:type="spellStart"/>
      <w:r>
        <w:t>Waray</w:t>
      </w:r>
      <w:proofErr w:type="spellEnd"/>
      <w:r w:rsidR="00F244FE">
        <w:t>.</w:t>
      </w:r>
    </w:p>
    <w:p w:rsidR="004A3F7F" w:rsidRPr="0063639E" w:rsidRDefault="004A3F7F" w:rsidP="004A3F7F">
      <w:r w:rsidRPr="0063639E">
        <w:t xml:space="preserve">There are hundreds of sub-ethnic groups indigenous to the Philippines, a large number of which have their own language. Approximately ten languages are spoken throughout the country, including eight major dialects – Tagalog, Cebuano, Ilocano, Hiligaynon or </w:t>
      </w:r>
      <w:proofErr w:type="spellStart"/>
      <w:r w:rsidRPr="0063639E">
        <w:t>Ilonggo</w:t>
      </w:r>
      <w:proofErr w:type="spellEnd"/>
      <w:r w:rsidRPr="0063639E">
        <w:t xml:space="preserve">, </w:t>
      </w:r>
      <w:proofErr w:type="spellStart"/>
      <w:r w:rsidRPr="0063639E">
        <w:t>Bicol</w:t>
      </w:r>
      <w:r w:rsidR="00910856">
        <w:t>ano</w:t>
      </w:r>
      <w:proofErr w:type="spellEnd"/>
      <w:r w:rsidRPr="0063639E">
        <w:t xml:space="preserve">, </w:t>
      </w:r>
      <w:proofErr w:type="spellStart"/>
      <w:r w:rsidRPr="0063639E">
        <w:t>Waray</w:t>
      </w:r>
      <w:proofErr w:type="spellEnd"/>
      <w:r w:rsidRPr="0063639E">
        <w:t xml:space="preserve">, </w:t>
      </w:r>
      <w:proofErr w:type="spellStart"/>
      <w:r w:rsidRPr="0063639E">
        <w:t>Pampango</w:t>
      </w:r>
      <w:proofErr w:type="spellEnd"/>
      <w:r w:rsidRPr="0063639E">
        <w:t xml:space="preserve"> and </w:t>
      </w:r>
      <w:proofErr w:type="spellStart"/>
      <w:r w:rsidRPr="0063639E">
        <w:t>Pangasinan</w:t>
      </w:r>
      <w:proofErr w:type="spellEnd"/>
      <w:r w:rsidRPr="0063639E">
        <w:t xml:space="preserve"> – and the two official languages, being Filipino (based on Tagalog) and English.</w:t>
      </w:r>
      <w:r>
        <w:rPr>
          <w:rStyle w:val="FootnoteReference"/>
          <w:lang w:val="en"/>
        </w:rPr>
        <w:footnoteReference w:id="13"/>
      </w:r>
      <w:r w:rsidRPr="0063639E">
        <w:t xml:space="preserve"> </w:t>
      </w:r>
    </w:p>
    <w:p w:rsidR="004A3F7F" w:rsidRPr="00EA63EB" w:rsidRDefault="004A3F7F" w:rsidP="004A3F7F">
      <w:r w:rsidRPr="0063639E">
        <w:t>The Philippin</w:t>
      </w:r>
      <w:r w:rsidR="000A5AC0">
        <w:t>es is one of the fastest urbanis</w:t>
      </w:r>
      <w:r w:rsidRPr="0063639E">
        <w:t>ing countries in the world.</w:t>
      </w:r>
      <w:bookmarkStart w:id="11" w:name="_Ref490637532"/>
      <w:r w:rsidRPr="0063639E">
        <w:rPr>
          <w:vertAlign w:val="superscript"/>
        </w:rPr>
        <w:footnoteReference w:id="14"/>
      </w:r>
      <w:bookmarkEnd w:id="11"/>
      <w:r>
        <w:t xml:space="preserve"> </w:t>
      </w:r>
      <w:r w:rsidRPr="0063639E">
        <w:t>The high level of urbanisation</w:t>
      </w:r>
      <w:r>
        <w:t xml:space="preserve"> </w:t>
      </w:r>
      <w:r w:rsidRPr="0063639E">
        <w:t xml:space="preserve">in the </w:t>
      </w:r>
      <w:proofErr w:type="spellStart"/>
      <w:r w:rsidRPr="0063639E">
        <w:t>Ilocos</w:t>
      </w:r>
      <w:proofErr w:type="spellEnd"/>
      <w:r w:rsidRPr="0063639E">
        <w:t xml:space="preserve"> Region and </w:t>
      </w:r>
      <w:r w:rsidR="000A5AC0" w:rsidRPr="0063639E">
        <w:t>CALABARZON</w:t>
      </w:r>
      <w:r w:rsidRPr="0063639E">
        <w:t>, both close to Metro Manila, demonstrate the urbanisation and peri-urban development due to the spill over of economic activity into these urban regions.</w:t>
      </w:r>
    </w:p>
    <w:p w:rsidR="004A3F7F" w:rsidRPr="00890420" w:rsidRDefault="004A3F7F" w:rsidP="001726AE">
      <w:pPr>
        <w:pStyle w:val="AllensHeading2"/>
        <w:rPr>
          <w:lang w:val="en-GB"/>
        </w:rPr>
      </w:pPr>
      <w:bookmarkStart w:id="12" w:name="_Toc486802444"/>
      <w:bookmarkStart w:id="13" w:name="_Toc513116248"/>
      <w:r>
        <w:rPr>
          <w:lang w:val="en-GB"/>
        </w:rPr>
        <w:t>Brief historical background</w:t>
      </w:r>
      <w:r w:rsidRPr="00890420">
        <w:rPr>
          <w:lang w:val="en-GB"/>
        </w:rPr>
        <w:t xml:space="preserve"> on land tenure in the Philippines</w:t>
      </w:r>
      <w:bookmarkEnd w:id="12"/>
      <w:bookmarkEnd w:id="13"/>
      <w:r w:rsidRPr="00890420">
        <w:rPr>
          <w:lang w:val="en-GB"/>
        </w:rPr>
        <w:t xml:space="preserve"> </w:t>
      </w:r>
    </w:p>
    <w:p w:rsidR="004A3F7F" w:rsidRPr="00890420" w:rsidRDefault="004A3F7F" w:rsidP="004A3F7F">
      <w:r w:rsidRPr="00890420">
        <w:t xml:space="preserve">Philippine history is marked by the pre-Spanish </w:t>
      </w:r>
      <w:r>
        <w:t>period</w:t>
      </w:r>
      <w:r w:rsidRPr="00890420">
        <w:t xml:space="preserve">, Spanish colonial </w:t>
      </w:r>
      <w:r>
        <w:t>period</w:t>
      </w:r>
      <w:r w:rsidRPr="00890420">
        <w:t xml:space="preserve">, 40 years under US rule, </w:t>
      </w:r>
      <w:proofErr w:type="gramStart"/>
      <w:r w:rsidRPr="00890420">
        <w:t>four</w:t>
      </w:r>
      <w:proofErr w:type="gramEnd"/>
      <w:r w:rsidRPr="00890420">
        <w:t xml:space="preserve"> years of Japanese occupation and then post-war </w:t>
      </w:r>
      <w:r w:rsidR="00AB79BD">
        <w:t>i</w:t>
      </w:r>
      <w:r w:rsidRPr="00890420">
        <w:t>ndependence since 1946.</w:t>
      </w:r>
      <w:bookmarkStart w:id="14" w:name="_Ref490636451"/>
      <w:r w:rsidRPr="00890420">
        <w:rPr>
          <w:vertAlign w:val="superscript"/>
        </w:rPr>
        <w:footnoteReference w:id="15"/>
      </w:r>
      <w:bookmarkEnd w:id="14"/>
      <w:r w:rsidRPr="00890420">
        <w:t xml:space="preserve"> Throughout</w:t>
      </w:r>
      <w:r>
        <w:t xml:space="preserve"> these periods</w:t>
      </w:r>
      <w:r w:rsidRPr="00890420">
        <w:t xml:space="preserve">, land distribution became focused in elite echelons of the population, leading to the Philippines having one of the worst land-tenure problems in the </w:t>
      </w:r>
      <w:r>
        <w:t xml:space="preserve">developing </w:t>
      </w:r>
      <w:r w:rsidRPr="00890420">
        <w:t>world.</w:t>
      </w:r>
      <w:r w:rsidRPr="00890420">
        <w:rPr>
          <w:vertAlign w:val="superscript"/>
        </w:rPr>
        <w:footnoteReference w:id="16"/>
      </w:r>
    </w:p>
    <w:p w:rsidR="004A3F7F" w:rsidRPr="00890420" w:rsidRDefault="004A3F7F" w:rsidP="004A3F7F">
      <w:r w:rsidRPr="00890420">
        <w:lastRenderedPageBreak/>
        <w:t xml:space="preserve">Prior to the Spanish colonisation of the Philippines, Filipinos lived in villages (or barangays) which were governed by local chiefs (or </w:t>
      </w:r>
      <w:proofErr w:type="spellStart"/>
      <w:r w:rsidRPr="00890420">
        <w:t>Datus</w:t>
      </w:r>
      <w:proofErr w:type="spellEnd"/>
      <w:r w:rsidRPr="00890420">
        <w:t>). During this time, there was a rigid social structure made up of four main groups</w:t>
      </w:r>
      <w:r>
        <w:t xml:space="preserve">: </w:t>
      </w:r>
      <w:proofErr w:type="spellStart"/>
      <w:r>
        <w:t>Datus</w:t>
      </w:r>
      <w:proofErr w:type="spellEnd"/>
      <w:r>
        <w:t xml:space="preserve"> (nobility), </w:t>
      </w:r>
      <w:proofErr w:type="spellStart"/>
      <w:r>
        <w:t>Maharlikas</w:t>
      </w:r>
      <w:proofErr w:type="spellEnd"/>
      <w:r>
        <w:t xml:space="preserve"> (</w:t>
      </w:r>
      <w:r w:rsidRPr="00890420">
        <w:t>freemen</w:t>
      </w:r>
      <w:r>
        <w:t>)</w:t>
      </w:r>
      <w:r w:rsidRPr="00890420">
        <w:t xml:space="preserve">, </w:t>
      </w:r>
      <w:proofErr w:type="spellStart"/>
      <w:r w:rsidRPr="00890420">
        <w:t>Aliping</w:t>
      </w:r>
      <w:proofErr w:type="spellEnd"/>
      <w:r w:rsidRPr="00890420">
        <w:t xml:space="preserve"> </w:t>
      </w:r>
      <w:proofErr w:type="spellStart"/>
      <w:r w:rsidRPr="00890420">
        <w:t>Mamamahay</w:t>
      </w:r>
      <w:proofErr w:type="spellEnd"/>
      <w:r w:rsidRPr="00890420">
        <w:t xml:space="preserve"> </w:t>
      </w:r>
      <w:r>
        <w:t>(</w:t>
      </w:r>
      <w:r w:rsidRPr="00890420">
        <w:t>serfs</w:t>
      </w:r>
      <w:r>
        <w:t xml:space="preserve">) and the </w:t>
      </w:r>
      <w:proofErr w:type="spellStart"/>
      <w:r w:rsidRPr="00890420">
        <w:t>Aliping</w:t>
      </w:r>
      <w:proofErr w:type="spellEnd"/>
      <w:r w:rsidRPr="00890420">
        <w:t xml:space="preserve"> </w:t>
      </w:r>
      <w:proofErr w:type="spellStart"/>
      <w:r w:rsidRPr="00890420">
        <w:t>Saguiguulid</w:t>
      </w:r>
      <w:proofErr w:type="spellEnd"/>
      <w:r>
        <w:t xml:space="preserve"> (</w:t>
      </w:r>
      <w:r w:rsidRPr="00890420">
        <w:t>slaves</w:t>
      </w:r>
      <w:r>
        <w:t>)</w:t>
      </w:r>
      <w:r w:rsidRPr="00890420">
        <w:t xml:space="preserve">. Despite this unequal social structure, there was widespread enjoyment of </w:t>
      </w:r>
      <w:r>
        <w:t xml:space="preserve">and access to </w:t>
      </w:r>
      <w:r w:rsidRPr="00890420">
        <w:t xml:space="preserve">land. </w:t>
      </w:r>
    </w:p>
    <w:p w:rsidR="004A3F7F" w:rsidRDefault="004A3F7F" w:rsidP="004A3F7F">
      <w:r w:rsidRPr="00890420">
        <w:t xml:space="preserve">During Spanish </w:t>
      </w:r>
      <w:r>
        <w:t>colonisation</w:t>
      </w:r>
      <w:r w:rsidRPr="00890420">
        <w:t xml:space="preserve">, </w:t>
      </w:r>
      <w:r w:rsidR="008325C8">
        <w:t xml:space="preserve">the concept of </w:t>
      </w:r>
      <w:r w:rsidR="008325C8" w:rsidRPr="008325C8">
        <w:rPr>
          <w:i/>
        </w:rPr>
        <w:t>jure regalia</w:t>
      </w:r>
      <w:r w:rsidR="008325C8">
        <w:t xml:space="preserve">, or the </w:t>
      </w:r>
      <w:proofErr w:type="spellStart"/>
      <w:r w:rsidR="008325C8" w:rsidRPr="000C45F0">
        <w:rPr>
          <w:b/>
          <w:i/>
        </w:rPr>
        <w:t>Regalian</w:t>
      </w:r>
      <w:proofErr w:type="spellEnd"/>
      <w:r w:rsidR="008325C8" w:rsidRPr="000C45F0">
        <w:rPr>
          <w:b/>
          <w:i/>
        </w:rPr>
        <w:t xml:space="preserve"> land doctrine</w:t>
      </w:r>
      <w:r w:rsidR="000C45F0">
        <w:t>, was established</w:t>
      </w:r>
      <w:r w:rsidR="008325C8">
        <w:t xml:space="preserve">. Under this doctrine, all land ownership </w:t>
      </w:r>
      <w:r w:rsidR="00650812">
        <w:t>need</w:t>
      </w:r>
      <w:r w:rsidR="00A66466">
        <w:t>s</w:t>
      </w:r>
      <w:r w:rsidR="00650812">
        <w:t xml:space="preserve"> to</w:t>
      </w:r>
      <w:r w:rsidR="008325C8">
        <w:t xml:space="preserve"> derive from a grant, express or implied, from the Spanish Crown. </w:t>
      </w:r>
      <w:r w:rsidRPr="00890420">
        <w:t xml:space="preserve">Royal Land Grants were </w:t>
      </w:r>
      <w:r w:rsidR="008325C8">
        <w:t>a popular form of grant</w:t>
      </w:r>
      <w:r w:rsidRPr="00890420">
        <w:t>. This was a system in which '</w:t>
      </w:r>
      <w:proofErr w:type="spellStart"/>
      <w:r w:rsidRPr="00890420">
        <w:t>Encomienderos</w:t>
      </w:r>
      <w:proofErr w:type="spellEnd"/>
      <w:r w:rsidRPr="00890420">
        <w:t xml:space="preserve">' would be granted parcels of land </w:t>
      </w:r>
      <w:r w:rsidR="00F244FE">
        <w:t>for which they were then responsible</w:t>
      </w:r>
      <w:r w:rsidRPr="00890420">
        <w:t xml:space="preserve">. They were responsible for defending that land from external attack, to maintain peace and order within, and to support missionaries. </w:t>
      </w:r>
      <w:r>
        <w:t xml:space="preserve">This </w:t>
      </w:r>
      <w:r w:rsidRPr="00890420">
        <w:t xml:space="preserve">led to the transition of Filipinos from cultivators of the land to share tenants of the land. </w:t>
      </w:r>
    </w:p>
    <w:p w:rsidR="00AB7DE9" w:rsidRDefault="008325C8" w:rsidP="00AB7DE9">
      <w:pPr>
        <w:rPr>
          <w:rFonts w:eastAsiaTheme="minorHAnsi"/>
          <w:lang w:eastAsia="en-US"/>
        </w:rPr>
      </w:pPr>
      <w:r>
        <w:t>This doctrine has since become enshrined in</w:t>
      </w:r>
      <w:r w:rsidR="00650812">
        <w:t xml:space="preserve"> past and</w:t>
      </w:r>
      <w:r>
        <w:t xml:space="preserve"> present legislation, including the </w:t>
      </w:r>
      <w:r w:rsidRPr="00EE769A">
        <w:rPr>
          <w:rFonts w:eastAsiaTheme="minorHAnsi"/>
          <w:i/>
          <w:lang w:eastAsia="en-US"/>
        </w:rPr>
        <w:t>1987 Constitution</w:t>
      </w:r>
      <w:r w:rsidRPr="0084277E">
        <w:rPr>
          <w:rFonts w:eastAsiaTheme="minorHAnsi"/>
          <w:lang w:eastAsia="en-US"/>
        </w:rPr>
        <w:t xml:space="preserve"> </w:t>
      </w:r>
      <w:r>
        <w:rPr>
          <w:i/>
        </w:rPr>
        <w:t xml:space="preserve">of the Republic of the Philippines </w:t>
      </w:r>
      <w:r>
        <w:rPr>
          <w:rFonts w:eastAsiaTheme="minorHAnsi"/>
          <w:lang w:eastAsia="en-US"/>
        </w:rPr>
        <w:t xml:space="preserve">(the </w:t>
      </w:r>
      <w:r w:rsidRPr="00F7533C">
        <w:rPr>
          <w:rFonts w:eastAsiaTheme="minorHAnsi"/>
          <w:b/>
          <w:i/>
          <w:lang w:eastAsia="en-US"/>
        </w:rPr>
        <w:t>Constitution</w:t>
      </w:r>
      <w:r>
        <w:rPr>
          <w:rFonts w:eastAsiaTheme="minorHAnsi"/>
          <w:lang w:eastAsia="en-US"/>
        </w:rPr>
        <w:t xml:space="preserve">). </w:t>
      </w:r>
      <w:r w:rsidR="008E3ADC">
        <w:rPr>
          <w:rFonts w:eastAsiaTheme="minorHAnsi"/>
          <w:lang w:eastAsia="en-US"/>
        </w:rPr>
        <w:t>For example, s</w:t>
      </w:r>
      <w:r>
        <w:rPr>
          <w:rFonts w:eastAsiaTheme="minorHAnsi"/>
          <w:lang w:eastAsia="en-US"/>
        </w:rPr>
        <w:t>ection 2 of</w:t>
      </w:r>
      <w:r w:rsidR="00AB7DE9">
        <w:rPr>
          <w:rFonts w:eastAsiaTheme="minorHAnsi"/>
          <w:lang w:eastAsia="en-US"/>
        </w:rPr>
        <w:t xml:space="preserve"> the Constitution provides that lands rich in forest, timber, mineral or other resources must all remain with the State and that the exploration, development and utilisation of such land shall be subject to the full control and supervision of the State</w:t>
      </w:r>
      <w:r w:rsidR="008E3ADC">
        <w:rPr>
          <w:rFonts w:eastAsiaTheme="minorHAnsi"/>
          <w:lang w:eastAsia="en-US"/>
        </w:rPr>
        <w:t xml:space="preserve"> (</w:t>
      </w:r>
      <w:r w:rsidR="00AB7DE9">
        <w:rPr>
          <w:rFonts w:eastAsiaTheme="minorHAnsi"/>
          <w:lang w:eastAsia="en-US"/>
        </w:rPr>
        <w:t>which may at its discretion enter into arrangements with corporations involving technical or financial assistance for large</w:t>
      </w:r>
      <w:r w:rsidR="008E3ADC">
        <w:rPr>
          <w:rFonts w:eastAsiaTheme="minorHAnsi"/>
          <w:lang w:eastAsia="en-US"/>
        </w:rPr>
        <w:t>-</w:t>
      </w:r>
      <w:r w:rsidR="00AB7DE9">
        <w:rPr>
          <w:rFonts w:eastAsiaTheme="minorHAnsi"/>
          <w:lang w:eastAsia="en-US"/>
        </w:rPr>
        <w:t>scale exploration, development and utilisation</w:t>
      </w:r>
      <w:r w:rsidR="008E3ADC">
        <w:rPr>
          <w:rFonts w:eastAsiaTheme="minorHAnsi"/>
          <w:lang w:eastAsia="en-US"/>
        </w:rPr>
        <w:t>)</w:t>
      </w:r>
      <w:r w:rsidR="00AB7DE9">
        <w:rPr>
          <w:rFonts w:eastAsiaTheme="minorHAnsi"/>
          <w:lang w:eastAsia="en-US"/>
        </w:rPr>
        <w:t xml:space="preserve">. </w:t>
      </w:r>
    </w:p>
    <w:p w:rsidR="004A3F7F" w:rsidRDefault="008325C8" w:rsidP="004A3F7F">
      <w:r>
        <w:rPr>
          <w:rFonts w:eastAsiaTheme="minorHAnsi"/>
          <w:lang w:eastAsia="en-US"/>
        </w:rPr>
        <w:t xml:space="preserve"> </w:t>
      </w:r>
      <w:r w:rsidR="004A3F7F" w:rsidRPr="00890420">
        <w:t xml:space="preserve">During </w:t>
      </w:r>
      <w:r w:rsidR="004A3F7F">
        <w:t>US Rule</w:t>
      </w:r>
      <w:r w:rsidR="004A3F7F" w:rsidRPr="00890420">
        <w:t>, the Torrens system was introduced to the Philippines as well as significant legislation</w:t>
      </w:r>
      <w:r w:rsidR="004A3F7F">
        <w:t>. This included:</w:t>
      </w:r>
    </w:p>
    <w:p w:rsidR="004A3F7F" w:rsidRPr="003F7BDB" w:rsidRDefault="004A3F7F" w:rsidP="004A3F7F">
      <w:pPr>
        <w:pStyle w:val="Bullet1"/>
      </w:pPr>
      <w:r w:rsidRPr="003F7BDB">
        <w:t xml:space="preserve">the </w:t>
      </w:r>
      <w:r w:rsidRPr="003F7BDB">
        <w:rPr>
          <w:i/>
        </w:rPr>
        <w:t xml:space="preserve">Land Registration Act of 1902 </w:t>
      </w:r>
      <w:r w:rsidRPr="003F7BDB">
        <w:t>(Act 496) which outlined comprehensive registration of land titles under the Torrens system;</w:t>
      </w:r>
    </w:p>
    <w:p w:rsidR="004A3F7F" w:rsidRPr="003F7BDB" w:rsidRDefault="004A3F7F" w:rsidP="004A3F7F">
      <w:pPr>
        <w:pStyle w:val="Bullet1"/>
      </w:pPr>
      <w:r w:rsidRPr="003F7BDB">
        <w:t xml:space="preserve">the </w:t>
      </w:r>
      <w:r w:rsidRPr="003F7BDB">
        <w:rPr>
          <w:i/>
        </w:rPr>
        <w:t>Public Land Act of 1903</w:t>
      </w:r>
      <w:r w:rsidRPr="003F7BDB">
        <w:t xml:space="preserve"> </w:t>
      </w:r>
      <w:r w:rsidRPr="00E657C0">
        <w:t>(Act 2874) (</w:t>
      </w:r>
      <w:r w:rsidRPr="003F7BDB">
        <w:t>which introduced the homestead system); and</w:t>
      </w:r>
    </w:p>
    <w:p w:rsidR="004A3F7F" w:rsidRPr="003F7BDB" w:rsidRDefault="004A3F7F" w:rsidP="004A3F7F">
      <w:pPr>
        <w:pStyle w:val="Bullet1"/>
      </w:pPr>
      <w:proofErr w:type="gramStart"/>
      <w:r w:rsidRPr="003F7BDB">
        <w:t>the</w:t>
      </w:r>
      <w:proofErr w:type="gramEnd"/>
      <w:r w:rsidRPr="003F7BDB">
        <w:t xml:space="preserve"> </w:t>
      </w:r>
      <w:r w:rsidRPr="003F7BDB">
        <w:rPr>
          <w:i/>
        </w:rPr>
        <w:t>Tenancy Act of 1933</w:t>
      </w:r>
      <w:r w:rsidRPr="003F7BDB">
        <w:t xml:space="preserve"> (Act</w:t>
      </w:r>
      <w:r w:rsidR="00B05DFC">
        <w:t>s</w:t>
      </w:r>
      <w:r w:rsidRPr="003F7BDB">
        <w:t xml:space="preserve"> 4053 and 4113) which governed the relationship between landowners and tenants of rice and sugar cane land. </w:t>
      </w:r>
    </w:p>
    <w:p w:rsidR="004A3F7F" w:rsidRPr="00890420" w:rsidRDefault="004A3F7F" w:rsidP="004A3F7F">
      <w:r w:rsidRPr="00890420">
        <w:t xml:space="preserve">The varying level of enforcement that accompanied </w:t>
      </w:r>
      <w:r>
        <w:t>this</w:t>
      </w:r>
      <w:r w:rsidRPr="00890420">
        <w:t xml:space="preserve"> legislation contributed to the problem of land tenure</w:t>
      </w:r>
      <w:r>
        <w:t>,</w:t>
      </w:r>
      <w:r w:rsidRPr="00890420">
        <w:t xml:space="preserve"> particularly the </w:t>
      </w:r>
      <w:r w:rsidRPr="00C12883">
        <w:rPr>
          <w:rFonts w:eastAsiaTheme="minorHAnsi"/>
          <w:i/>
          <w:lang w:eastAsia="en-US"/>
        </w:rPr>
        <w:t>Land Registration Act</w:t>
      </w:r>
      <w:r w:rsidRPr="00890420">
        <w:t xml:space="preserve">. While the Americans registered their land interests, most Filipinos were either unaware of the law or if they were aware, </w:t>
      </w:r>
      <w:r>
        <w:t>unable to pay for the costs of registration</w:t>
      </w:r>
      <w:r w:rsidRPr="00890420">
        <w:t>.</w:t>
      </w:r>
      <w:r>
        <w:rPr>
          <w:rStyle w:val="FootnoteReference"/>
          <w:lang w:val="en"/>
        </w:rPr>
        <w:footnoteReference w:id="17"/>
      </w:r>
      <w:r w:rsidRPr="00890420">
        <w:t xml:space="preserve"> </w:t>
      </w:r>
    </w:p>
    <w:p w:rsidR="004A3F7F" w:rsidRDefault="00AB79BD" w:rsidP="004A3F7F">
      <w:pPr>
        <w:pStyle w:val="Bullet1"/>
        <w:numPr>
          <w:ilvl w:val="0"/>
          <w:numId w:val="0"/>
        </w:numPr>
        <w:jc w:val="both"/>
      </w:pPr>
      <w:r>
        <w:t xml:space="preserve">The </w:t>
      </w:r>
      <w:r w:rsidR="004A3F7F">
        <w:t xml:space="preserve">establishment of the Commonwealth of the Philippines in 1935 </w:t>
      </w:r>
      <w:r w:rsidR="004A3F7F" w:rsidRPr="00890420">
        <w:t>saw the enactment of significant legislatio</w:t>
      </w:r>
      <w:r w:rsidR="004A3F7F">
        <w:t xml:space="preserve">n in respect to land, namely, </w:t>
      </w:r>
      <w:r w:rsidR="004A3F7F" w:rsidRPr="00890420">
        <w:t xml:space="preserve">the </w:t>
      </w:r>
      <w:r w:rsidR="004A3F7F" w:rsidRPr="00EE769A">
        <w:rPr>
          <w:i/>
        </w:rPr>
        <w:t xml:space="preserve">Commonwealth Act </w:t>
      </w:r>
      <w:r w:rsidR="004A3F7F" w:rsidRPr="00627B5B">
        <w:rPr>
          <w:i/>
        </w:rPr>
        <w:t>1936</w:t>
      </w:r>
      <w:r w:rsidR="004A3F7F" w:rsidRPr="00534B75">
        <w:t xml:space="preserve"> (the </w:t>
      </w:r>
      <w:r w:rsidR="004A3F7F" w:rsidRPr="00534B75">
        <w:rPr>
          <w:b/>
          <w:i/>
        </w:rPr>
        <w:t>CA 141</w:t>
      </w:r>
      <w:r w:rsidR="004A3F7F" w:rsidRPr="00534B75">
        <w:t>)</w:t>
      </w:r>
      <w:r w:rsidR="004A3F7F">
        <w:t>,</w:t>
      </w:r>
      <w:r w:rsidR="004A3F7F" w:rsidRPr="00534B75">
        <w:t xml:space="preserve"> </w:t>
      </w:r>
      <w:r w:rsidR="004A3F7F" w:rsidRPr="00EE769A">
        <w:t>which</w:t>
      </w:r>
      <w:r w:rsidR="004A3F7F" w:rsidRPr="00890420">
        <w:t xml:space="preserve"> introduced certain controls on the landlord-tenant relationships, including the requirement </w:t>
      </w:r>
      <w:r w:rsidR="004A3F7F">
        <w:t xml:space="preserve">to have certain </w:t>
      </w:r>
      <w:r w:rsidR="004A3F7F" w:rsidRPr="00890420">
        <w:t xml:space="preserve">specified reasons and approval from the Department of Justice for the </w:t>
      </w:r>
      <w:r w:rsidR="004A3F7F">
        <w:t xml:space="preserve">eviction </w:t>
      </w:r>
      <w:r w:rsidR="004A3F7F" w:rsidRPr="00890420">
        <w:t>of tenants. In 1939, th</w:t>
      </w:r>
      <w:r w:rsidR="004A3F7F">
        <w:t xml:space="preserve">e Rural Program Administration </w:t>
      </w:r>
      <w:r w:rsidR="004A3F7F" w:rsidRPr="00890420">
        <w:t>provided for the purchase and lease of Spanish esta</w:t>
      </w:r>
      <w:r w:rsidR="004A3F7F">
        <w:t>tes (Haciendas) to the tenants.</w:t>
      </w:r>
    </w:p>
    <w:p w:rsidR="004A3F7F" w:rsidRPr="00890420" w:rsidRDefault="004A3F7F" w:rsidP="004A3F7F">
      <w:r>
        <w:t>During the Japanese occupation, m</w:t>
      </w:r>
      <w:r w:rsidRPr="00890420">
        <w:t xml:space="preserve">any peasants and workers formed groups that engaged in insurgency operations against the Japanese, which </w:t>
      </w:r>
      <w:r>
        <w:t xml:space="preserve">resulted in </w:t>
      </w:r>
      <w:r w:rsidRPr="00890420">
        <w:t>some land gains</w:t>
      </w:r>
      <w:r>
        <w:t xml:space="preserve"> during this period</w:t>
      </w:r>
      <w:r w:rsidRPr="00890420">
        <w:t>.</w:t>
      </w:r>
      <w:r>
        <w:rPr>
          <w:rStyle w:val="FootnoteReference"/>
          <w:lang w:val="en"/>
        </w:rPr>
        <w:footnoteReference w:id="18"/>
      </w:r>
    </w:p>
    <w:p w:rsidR="004A3F7F" w:rsidRPr="00890420" w:rsidRDefault="004A3F7F" w:rsidP="004A3F7F">
      <w:r w:rsidRPr="00890420">
        <w:t>After Philippine Independence in 1946, the problem of land tenure continued. A series of land reform policies were introduced but none with sustained success.</w:t>
      </w:r>
      <w:r w:rsidRPr="00890420">
        <w:rPr>
          <w:vertAlign w:val="superscript"/>
        </w:rPr>
        <w:footnoteReference w:id="19"/>
      </w:r>
      <w:r w:rsidRPr="00890420">
        <w:t xml:space="preserve"> This began with the </w:t>
      </w:r>
      <w:r w:rsidRPr="0055564A">
        <w:rPr>
          <w:i/>
        </w:rPr>
        <w:t>Land Reform Act of 1955</w:t>
      </w:r>
      <w:r w:rsidRPr="00890420">
        <w:t xml:space="preserve"> (which </w:t>
      </w:r>
      <w:r>
        <w:t xml:space="preserve">facilitated </w:t>
      </w:r>
      <w:r w:rsidRPr="00890420">
        <w:t xml:space="preserve">the redistribution of large estates) and </w:t>
      </w:r>
      <w:r w:rsidRPr="0055564A">
        <w:rPr>
          <w:i/>
        </w:rPr>
        <w:t>Agricultural Land Reform Code</w:t>
      </w:r>
      <w:r w:rsidRPr="00890420">
        <w:t xml:space="preserve"> (abolishing share tenancy arrangements).</w:t>
      </w:r>
      <w:bookmarkStart w:id="15" w:name="_Ref490636527"/>
      <w:r w:rsidRPr="00890420">
        <w:rPr>
          <w:vertAlign w:val="superscript"/>
        </w:rPr>
        <w:footnoteReference w:id="20"/>
      </w:r>
      <w:bookmarkEnd w:id="15"/>
      <w:r w:rsidRPr="00890420">
        <w:t xml:space="preserve"> </w:t>
      </w:r>
    </w:p>
    <w:p w:rsidR="006A5154" w:rsidRDefault="006A5154" w:rsidP="004A3F7F">
      <w:pPr>
        <w:pStyle w:val="AllensHeading1"/>
        <w:jc w:val="both"/>
      </w:pPr>
      <w:bookmarkStart w:id="16" w:name="CommonTenure"/>
      <w:bookmarkStart w:id="17" w:name="_Toc513116249"/>
      <w:bookmarkStart w:id="18" w:name="_Toc490299808"/>
      <w:bookmarkEnd w:id="16"/>
      <w:r>
        <w:lastRenderedPageBreak/>
        <w:t>Common tenure types</w:t>
      </w:r>
      <w:bookmarkEnd w:id="17"/>
    </w:p>
    <w:p w:rsidR="004A3F7F" w:rsidRDefault="006A5154" w:rsidP="006A5154">
      <w:pPr>
        <w:pStyle w:val="AllensHeading2"/>
      </w:pPr>
      <w:bookmarkStart w:id="19" w:name="PrivateOwner"/>
      <w:bookmarkStart w:id="20" w:name="_Toc513116250"/>
      <w:bookmarkEnd w:id="18"/>
      <w:bookmarkEnd w:id="19"/>
      <w:r>
        <w:t>Tenure types</w:t>
      </w:r>
      <w:bookmarkEnd w:id="20"/>
    </w:p>
    <w:p w:rsidR="006A5154" w:rsidRPr="006A5154" w:rsidRDefault="006A5154" w:rsidP="006A5154">
      <w:pPr>
        <w:pStyle w:val="AllensHeading3"/>
        <w:rPr>
          <w:b/>
        </w:rPr>
      </w:pPr>
      <w:r w:rsidRPr="006A5154">
        <w:rPr>
          <w:b/>
        </w:rPr>
        <w:t>Overview</w:t>
      </w:r>
    </w:p>
    <w:p w:rsidR="007D6111" w:rsidRDefault="008325C8" w:rsidP="006A5154">
      <w:pPr>
        <w:ind w:left="709"/>
        <w:jc w:val="both"/>
      </w:pPr>
      <w:r>
        <w:t xml:space="preserve">The </w:t>
      </w:r>
      <w:r w:rsidR="008E3ADC">
        <w:t>Constitution</w:t>
      </w:r>
      <w:r w:rsidR="007D6111">
        <w:t xml:space="preserve"> provides that all land within the Philippines is owned by the </w:t>
      </w:r>
      <w:r w:rsidR="00AC3749">
        <w:t>s</w:t>
      </w:r>
      <w:r w:rsidR="007D6111">
        <w:t>tate, with the exception of</w:t>
      </w:r>
      <w:r w:rsidR="002B360D">
        <w:t>:</w:t>
      </w:r>
      <w:r w:rsidR="007D6111">
        <w:t xml:space="preserve"> lands made alienable and disposable which are su</w:t>
      </w:r>
      <w:r w:rsidR="00C67FE3">
        <w:t xml:space="preserve">bject to private ownership; lands applied for under the </w:t>
      </w:r>
      <w:r w:rsidR="00C67FE3" w:rsidRPr="00EE769A">
        <w:rPr>
          <w:i/>
        </w:rPr>
        <w:t xml:space="preserve">Indigenous </w:t>
      </w:r>
      <w:r w:rsidR="00C67FE3">
        <w:rPr>
          <w:i/>
        </w:rPr>
        <w:t>Persons</w:t>
      </w:r>
      <w:r w:rsidR="00C67FE3" w:rsidRPr="00EE769A">
        <w:rPr>
          <w:i/>
        </w:rPr>
        <w:t xml:space="preserve"> Rights Act of 1997</w:t>
      </w:r>
      <w:r w:rsidR="00C67FE3" w:rsidRPr="00534B75">
        <w:t xml:space="preserve"> </w:t>
      </w:r>
      <w:r w:rsidR="00C67FE3">
        <w:t xml:space="preserve">(Republic Act 8371) </w:t>
      </w:r>
      <w:r w:rsidR="00C67FE3" w:rsidRPr="00534B75">
        <w:t>(</w:t>
      </w:r>
      <w:r w:rsidR="00C67FE3" w:rsidRPr="00534B75">
        <w:rPr>
          <w:b/>
          <w:i/>
        </w:rPr>
        <w:t>IPRA</w:t>
      </w:r>
      <w:r w:rsidR="00C67FE3" w:rsidRPr="00534B75">
        <w:t>)</w:t>
      </w:r>
      <w:r w:rsidR="00C67FE3">
        <w:t>; and ancestral domain and ancestral land.</w:t>
      </w:r>
    </w:p>
    <w:p w:rsidR="00DE61C1" w:rsidRDefault="00D968EE" w:rsidP="006A5154">
      <w:pPr>
        <w:ind w:left="709"/>
        <w:jc w:val="both"/>
      </w:pPr>
      <w:r>
        <w:t>The IPRA defines ancestral domain as all</w:t>
      </w:r>
      <w:r w:rsidR="008E3ADC">
        <w:t xml:space="preserve"> </w:t>
      </w:r>
      <w:r w:rsidR="00CE6EF9">
        <w:t xml:space="preserve">environments </w:t>
      </w:r>
      <w:r w:rsidR="008E3ADC">
        <w:t xml:space="preserve">generally belonging to </w:t>
      </w:r>
      <w:r w:rsidR="00DE61C1" w:rsidRPr="00534B75">
        <w:t xml:space="preserve">the </w:t>
      </w:r>
      <w:r w:rsidR="00DE61C1">
        <w:t>i</w:t>
      </w:r>
      <w:r w:rsidR="00DE61C1" w:rsidRPr="00534B75">
        <w:t xml:space="preserve">ndigenous </w:t>
      </w:r>
      <w:r w:rsidR="00DE61C1">
        <w:t>p</w:t>
      </w:r>
      <w:r w:rsidR="00DE61C1" w:rsidRPr="00534B75">
        <w:t>eoples of the Philippines (</w:t>
      </w:r>
      <w:r w:rsidR="00DE61C1" w:rsidRPr="00F602D2">
        <w:rPr>
          <w:b/>
          <w:i/>
        </w:rPr>
        <w:t>IPs</w:t>
      </w:r>
      <w:r w:rsidR="00DE61C1" w:rsidRPr="00534B75">
        <w:t>) or the indigenous cultural communities (</w:t>
      </w:r>
      <w:r w:rsidR="00DE61C1" w:rsidRPr="00F602D2">
        <w:rPr>
          <w:b/>
          <w:i/>
        </w:rPr>
        <w:t>ICCs</w:t>
      </w:r>
      <w:r w:rsidR="00DE61C1" w:rsidRPr="00534B75">
        <w:t>)</w:t>
      </w:r>
      <w:r w:rsidR="00DE61C1">
        <w:t xml:space="preserve"> comprising of</w:t>
      </w:r>
      <w:r w:rsidR="00E606F7">
        <w:t xml:space="preserve"> not only</w:t>
      </w:r>
      <w:r w:rsidR="00DE61C1">
        <w:t xml:space="preserve"> lands, </w:t>
      </w:r>
      <w:r w:rsidR="00E606F7">
        <w:t xml:space="preserve">but also </w:t>
      </w:r>
      <w:r w:rsidR="00DE61C1">
        <w:t>inland waters, coastal areas</w:t>
      </w:r>
      <w:r w:rsidR="00E606F7">
        <w:t xml:space="preserve"> and</w:t>
      </w:r>
      <w:r w:rsidR="00DE61C1">
        <w:t xml:space="preserve"> natural resources therein</w:t>
      </w:r>
      <w:r w:rsidR="00E606F7">
        <w:t xml:space="preserve"> that are</w:t>
      </w:r>
      <w:r w:rsidR="00DE61C1">
        <w:t xml:space="preserve"> held under a claim of ownership. A claim of ownership requires that the domain has been occupied or possessed by the IPs or ICCs by themselves and their ancestors since time immemorial and continuously to the present. Exceptions will apply where this occupation or possession was interrupted by: </w:t>
      </w:r>
    </w:p>
    <w:p w:rsidR="00DE61C1" w:rsidRDefault="00DE61C1" w:rsidP="00D476A4">
      <w:pPr>
        <w:numPr>
          <w:ilvl w:val="0"/>
          <w:numId w:val="2"/>
        </w:numPr>
        <w:tabs>
          <w:tab w:val="clear" w:pos="709"/>
          <w:tab w:val="num" w:pos="1418"/>
        </w:tabs>
        <w:ind w:left="1418"/>
      </w:pPr>
      <w:r>
        <w:t xml:space="preserve">war; </w:t>
      </w:r>
    </w:p>
    <w:p w:rsidR="00DE61C1" w:rsidRDefault="00DE61C1" w:rsidP="00D476A4">
      <w:pPr>
        <w:numPr>
          <w:ilvl w:val="0"/>
          <w:numId w:val="2"/>
        </w:numPr>
        <w:tabs>
          <w:tab w:val="clear" w:pos="709"/>
          <w:tab w:val="num" w:pos="1418"/>
        </w:tabs>
        <w:ind w:left="1418"/>
      </w:pPr>
      <w:r>
        <w:t xml:space="preserve">force majeure; </w:t>
      </w:r>
    </w:p>
    <w:p w:rsidR="00DE61C1" w:rsidRDefault="00DE61C1" w:rsidP="00D476A4">
      <w:pPr>
        <w:numPr>
          <w:ilvl w:val="0"/>
          <w:numId w:val="2"/>
        </w:numPr>
        <w:tabs>
          <w:tab w:val="clear" w:pos="709"/>
          <w:tab w:val="num" w:pos="1418"/>
        </w:tabs>
        <w:ind w:left="1418"/>
      </w:pPr>
      <w:r>
        <w:t xml:space="preserve">displacement by force, deceit or stealth; </w:t>
      </w:r>
      <w:r w:rsidR="00D476A4">
        <w:t xml:space="preserve">or </w:t>
      </w:r>
    </w:p>
    <w:p w:rsidR="008E3ADC" w:rsidRDefault="00DE61C1" w:rsidP="00D476A4">
      <w:pPr>
        <w:numPr>
          <w:ilvl w:val="0"/>
          <w:numId w:val="2"/>
        </w:numPr>
        <w:tabs>
          <w:tab w:val="clear" w:pos="709"/>
          <w:tab w:val="num" w:pos="1418"/>
        </w:tabs>
        <w:ind w:left="1418"/>
      </w:pPr>
      <w:proofErr w:type="gramStart"/>
      <w:r>
        <w:t>consequence</w:t>
      </w:r>
      <w:proofErr w:type="gramEnd"/>
      <w:r>
        <w:t xml:space="preserve"> of government projects </w:t>
      </w:r>
      <w:r w:rsidR="00D476A4">
        <w:t>(</w:t>
      </w:r>
      <w:r>
        <w:t xml:space="preserve">or any other voluntary dealings entered into </w:t>
      </w:r>
      <w:r w:rsidR="00D476A4">
        <w:t>with</w:t>
      </w:r>
      <w:r>
        <w:t xml:space="preserve"> government or private individuals/corporations which are</w:t>
      </w:r>
      <w:r w:rsidR="00D476A4">
        <w:t xml:space="preserve"> or were</w:t>
      </w:r>
      <w:r>
        <w:t xml:space="preserve"> necessary to ensure economic, social and cultural welfare</w:t>
      </w:r>
      <w:r w:rsidR="00D476A4">
        <w:t>)</w:t>
      </w:r>
      <w:r>
        <w:t xml:space="preserve">. </w:t>
      </w:r>
    </w:p>
    <w:p w:rsidR="00DE61C1" w:rsidRDefault="00D968EE" w:rsidP="00DE61C1">
      <w:pPr>
        <w:ind w:left="709"/>
        <w:jc w:val="both"/>
      </w:pPr>
      <w:r>
        <w:t>The IPRA defines a</w:t>
      </w:r>
      <w:r w:rsidR="00D476A4">
        <w:t xml:space="preserve">ncestral land </w:t>
      </w:r>
      <w:r>
        <w:t>as</w:t>
      </w:r>
      <w:r w:rsidR="00D476A4">
        <w:t xml:space="preserve"> land that is</w:t>
      </w:r>
      <w:r w:rsidR="005D2FF6">
        <w:t xml:space="preserve"> similarly</w:t>
      </w:r>
      <w:r w:rsidR="00D476A4">
        <w:t xml:space="preserve"> occupied, possessed and utilised by individuals, families or clans who are IPs or ICCs </w:t>
      </w:r>
      <w:r w:rsidR="005D2FF6">
        <w:t xml:space="preserve">since time immemorial and continuously to the present with the same exceptions as above. The main distinction between the two is that ancestral </w:t>
      </w:r>
      <w:r w:rsidR="00E606F7">
        <w:t xml:space="preserve">land refers to only land whereas ancestral </w:t>
      </w:r>
      <w:r w:rsidR="005D2FF6">
        <w:t>domain refer</w:t>
      </w:r>
      <w:r w:rsidR="00E606F7">
        <w:t xml:space="preserve">s to all </w:t>
      </w:r>
      <w:r w:rsidR="00CE6EF9">
        <w:t>environments</w:t>
      </w:r>
      <w:r w:rsidR="005D2FF6">
        <w:t xml:space="preserve">. As such, the certification of title will differ. </w:t>
      </w:r>
      <w:proofErr w:type="gramStart"/>
      <w:r w:rsidR="005D2FF6">
        <w:t>Certificates of Ancestral Domain Title (</w:t>
      </w:r>
      <w:r w:rsidR="005D2FF6" w:rsidRPr="005D2FF6">
        <w:rPr>
          <w:b/>
          <w:i/>
        </w:rPr>
        <w:t>CADTs</w:t>
      </w:r>
      <w:r w:rsidR="005D2FF6">
        <w:t>) refers</w:t>
      </w:r>
      <w:proofErr w:type="gramEnd"/>
      <w:r w:rsidR="005D2FF6">
        <w:t xml:space="preserve"> to a title formally recognising the rights of possession and ownership of IPs or ICCs over their ancestral domain whereas Certificates of Ancestral Land Title (</w:t>
      </w:r>
      <w:r w:rsidR="005D2FF6" w:rsidRPr="005D2FF6">
        <w:rPr>
          <w:b/>
          <w:i/>
        </w:rPr>
        <w:t>CALTs</w:t>
      </w:r>
      <w:r w:rsidR="005D2FF6">
        <w:t xml:space="preserve">) refers to a title formally recognising the rights of the IPs or ICCs over their ancestral lands. </w:t>
      </w:r>
      <w:r w:rsidRPr="00534B75">
        <w:t>IPRA is a leading example of recognition for ICC/IP rights and has been used as a model for other developing countries.</w:t>
      </w:r>
      <w:bookmarkStart w:id="21" w:name="_Ref490636561"/>
      <w:r w:rsidRPr="00534B75">
        <w:rPr>
          <w:vertAlign w:val="superscript"/>
        </w:rPr>
        <w:footnoteReference w:id="21"/>
      </w:r>
      <w:bookmarkEnd w:id="21"/>
    </w:p>
    <w:p w:rsidR="004A3F7F" w:rsidRPr="00534B75" w:rsidRDefault="004A3F7F" w:rsidP="006A5154">
      <w:pPr>
        <w:ind w:left="709"/>
        <w:jc w:val="both"/>
      </w:pPr>
      <w:r w:rsidRPr="00534B75">
        <w:t xml:space="preserve">Land in the Philippines is basically divided into three major land classifications: </w:t>
      </w:r>
    </w:p>
    <w:p w:rsidR="004A3F7F" w:rsidRPr="00534B75" w:rsidRDefault="007D6111" w:rsidP="006A5154">
      <w:pPr>
        <w:numPr>
          <w:ilvl w:val="0"/>
          <w:numId w:val="2"/>
        </w:numPr>
        <w:tabs>
          <w:tab w:val="clear" w:pos="709"/>
          <w:tab w:val="num" w:pos="1418"/>
        </w:tabs>
        <w:ind w:left="1418"/>
      </w:pPr>
      <w:r>
        <w:t>a</w:t>
      </w:r>
      <w:r w:rsidR="004A3F7F">
        <w:t>ncestral domain</w:t>
      </w:r>
      <w:r w:rsidR="00B61970">
        <w:t xml:space="preserve"> and ancestral land</w:t>
      </w:r>
      <w:r w:rsidR="004A3F7F">
        <w:t>;</w:t>
      </w:r>
    </w:p>
    <w:p w:rsidR="004A3F7F" w:rsidRPr="00534B75" w:rsidRDefault="007D6111" w:rsidP="006A5154">
      <w:pPr>
        <w:numPr>
          <w:ilvl w:val="0"/>
          <w:numId w:val="2"/>
        </w:numPr>
        <w:ind w:left="1418"/>
      </w:pPr>
      <w:r>
        <w:t>l</w:t>
      </w:r>
      <w:r w:rsidR="004A3F7F">
        <w:t>and of public domain; and</w:t>
      </w:r>
    </w:p>
    <w:p w:rsidR="004A3F7F" w:rsidRPr="00534B75" w:rsidRDefault="007D6111" w:rsidP="006A5154">
      <w:pPr>
        <w:numPr>
          <w:ilvl w:val="0"/>
          <w:numId w:val="2"/>
        </w:numPr>
        <w:ind w:left="1418"/>
      </w:pPr>
      <w:proofErr w:type="gramStart"/>
      <w:r>
        <w:t>l</w:t>
      </w:r>
      <w:r w:rsidR="004A3F7F" w:rsidRPr="00534B75">
        <w:t>and</w:t>
      </w:r>
      <w:proofErr w:type="gramEnd"/>
      <w:r w:rsidR="004A3F7F" w:rsidRPr="00534B75">
        <w:t xml:space="preserve"> of private ownership.</w:t>
      </w:r>
      <w:bookmarkStart w:id="22" w:name="_Ref490637000"/>
      <w:r w:rsidR="004A3F7F" w:rsidRPr="00534B75">
        <w:rPr>
          <w:vertAlign w:val="superscript"/>
        </w:rPr>
        <w:footnoteReference w:id="22"/>
      </w:r>
      <w:bookmarkEnd w:id="22"/>
    </w:p>
    <w:p w:rsidR="004A3F7F" w:rsidRDefault="004A3F7F" w:rsidP="006A5154">
      <w:pPr>
        <w:ind w:left="709"/>
        <w:jc w:val="both"/>
      </w:pPr>
      <w:r>
        <w:t>D</w:t>
      </w:r>
      <w:r w:rsidRPr="00534B75">
        <w:t xml:space="preserve">ifferent laws </w:t>
      </w:r>
      <w:r>
        <w:t xml:space="preserve">deal with </w:t>
      </w:r>
      <w:r w:rsidRPr="00534B75">
        <w:t>these three land classifications.</w:t>
      </w:r>
      <w:r>
        <w:t xml:space="preserve"> </w:t>
      </w:r>
      <w:r w:rsidRPr="00534B75">
        <w:t>Ancestral domain</w:t>
      </w:r>
      <w:r w:rsidR="00D968EE">
        <w:t xml:space="preserve"> </w:t>
      </w:r>
      <w:r w:rsidRPr="00534B75">
        <w:t xml:space="preserve">is governed by the </w:t>
      </w:r>
      <w:r w:rsidR="00C67FE3">
        <w:t>IPRA,</w:t>
      </w:r>
      <w:r w:rsidRPr="00534B75">
        <w:t xml:space="preserve"> the land of public domain is governed by the </w:t>
      </w:r>
      <w:r>
        <w:t>CA 141</w:t>
      </w:r>
      <w:r w:rsidRPr="00534B75">
        <w:t xml:space="preserve"> and land of private ownership is governed by the </w:t>
      </w:r>
      <w:r w:rsidRPr="00EE769A">
        <w:rPr>
          <w:i/>
        </w:rPr>
        <w:t>Civil Code of the Philippines 1949</w:t>
      </w:r>
      <w:r w:rsidRPr="00EE769A">
        <w:t xml:space="preserve"> (</w:t>
      </w:r>
      <w:r w:rsidR="00B05DFC">
        <w:t xml:space="preserve">Republic Act </w:t>
      </w:r>
      <w:r w:rsidRPr="00EE769A">
        <w:t>386)</w:t>
      </w:r>
      <w:r>
        <w:t xml:space="preserve"> (the </w:t>
      </w:r>
      <w:r w:rsidRPr="00EE769A">
        <w:rPr>
          <w:b/>
          <w:i/>
        </w:rPr>
        <w:t>Civil Code</w:t>
      </w:r>
      <w:r>
        <w:t>)</w:t>
      </w:r>
      <w:r w:rsidRPr="00EE769A">
        <w:t>.</w:t>
      </w:r>
    </w:p>
    <w:p w:rsidR="004A3F7F" w:rsidRPr="00534B75" w:rsidRDefault="004A3F7F" w:rsidP="006A5154">
      <w:pPr>
        <w:ind w:left="709"/>
      </w:pPr>
      <w:r w:rsidRPr="00534B75">
        <w:t>The CA 141 outlines how land of public domain is subdivided. The two main divisions are:</w:t>
      </w:r>
    </w:p>
    <w:p w:rsidR="004A3F7F" w:rsidRPr="00534B75" w:rsidRDefault="004A3F7F" w:rsidP="006A5154">
      <w:pPr>
        <w:numPr>
          <w:ilvl w:val="0"/>
          <w:numId w:val="2"/>
        </w:numPr>
        <w:ind w:left="1418"/>
      </w:pPr>
      <w:r w:rsidRPr="00534B75">
        <w:t xml:space="preserve">alienable </w:t>
      </w:r>
      <w:r>
        <w:t>and</w:t>
      </w:r>
      <w:r w:rsidRPr="00534B75">
        <w:t xml:space="preserve"> disposable lands; and</w:t>
      </w:r>
    </w:p>
    <w:p w:rsidR="004A3F7F" w:rsidRDefault="004A3F7F" w:rsidP="006A5154">
      <w:pPr>
        <w:numPr>
          <w:ilvl w:val="0"/>
          <w:numId w:val="2"/>
        </w:numPr>
        <w:ind w:left="1418"/>
      </w:pPr>
      <w:proofErr w:type="gramStart"/>
      <w:r>
        <w:lastRenderedPageBreak/>
        <w:t>non-disposable</w:t>
      </w:r>
      <w:proofErr w:type="gramEnd"/>
      <w:r>
        <w:t>, t</w:t>
      </w:r>
      <w:r w:rsidRPr="00534B75">
        <w:t>imber/mineral lands (</w:t>
      </w:r>
      <w:r>
        <w:t xml:space="preserve">including </w:t>
      </w:r>
      <w:r w:rsidRPr="00534B75">
        <w:t>forestlands and national parks)</w:t>
      </w:r>
      <w:r>
        <w:t>.</w:t>
      </w:r>
      <w:r w:rsidRPr="00534B75">
        <w:rPr>
          <w:vertAlign w:val="superscript"/>
        </w:rPr>
        <w:footnoteReference w:id="23"/>
      </w:r>
    </w:p>
    <w:p w:rsidR="004A3F7F" w:rsidRPr="00534B75" w:rsidRDefault="004A3F7F" w:rsidP="006A5154">
      <w:pPr>
        <w:ind w:left="709"/>
      </w:pPr>
      <w:r w:rsidRPr="00534B75">
        <w:t>Only alienable or disposable land can be privately owned.</w:t>
      </w:r>
      <w:r>
        <w:t xml:space="preserve"> </w:t>
      </w:r>
      <w:r w:rsidRPr="00534B75">
        <w:t xml:space="preserve">In 2003, approximately 65 per cent of alienable or disposable lands were classified as land </w:t>
      </w:r>
      <w:r>
        <w:t xml:space="preserve">under </w:t>
      </w:r>
      <w:r w:rsidRPr="00534B75">
        <w:t>private ownership.</w:t>
      </w:r>
      <w:r w:rsidRPr="00534B75">
        <w:rPr>
          <w:vertAlign w:val="superscript"/>
        </w:rPr>
        <w:footnoteReference w:id="24"/>
      </w:r>
      <w:r>
        <w:t xml:space="preserve"> </w:t>
      </w:r>
      <w:r w:rsidRPr="00534B75">
        <w:t>Forestlands and national parks are subject only to usufruct and resource utilis</w:t>
      </w:r>
      <w:r>
        <w:t>ation under certain conditions.</w:t>
      </w:r>
    </w:p>
    <w:p w:rsidR="004A3F7F" w:rsidRPr="00534B75" w:rsidRDefault="004A3F7F" w:rsidP="006A5154">
      <w:pPr>
        <w:ind w:left="709"/>
      </w:pPr>
      <w:r w:rsidRPr="00534B75">
        <w:t>As of 2011, forestlands and national parks comprise</w:t>
      </w:r>
      <w:r w:rsidR="006D0FF9">
        <w:t>d</w:t>
      </w:r>
      <w:r w:rsidRPr="00534B75">
        <w:t xml:space="preserve"> approximately 50 per cen</w:t>
      </w:r>
      <w:r>
        <w:t>t of the Philippines total land. A</w:t>
      </w:r>
      <w:r w:rsidRPr="00534B75">
        <w:t>lienab</w:t>
      </w:r>
      <w:r>
        <w:t>le and disposable lands comprise</w:t>
      </w:r>
      <w:r w:rsidR="006D0FF9">
        <w:t>d</w:t>
      </w:r>
      <w:r w:rsidRPr="00534B75">
        <w:t xml:space="preserve"> approximately 47 per cent. At that time, a third of the forestlands and national parks were not co</w:t>
      </w:r>
      <w:r>
        <w:t>vered by any tenure instrument.</w:t>
      </w:r>
      <w:r>
        <w:rPr>
          <w:rStyle w:val="FootnoteReference"/>
          <w:lang w:val="en"/>
        </w:rPr>
        <w:footnoteReference w:id="25"/>
      </w:r>
    </w:p>
    <w:p w:rsidR="004A3F7F" w:rsidRDefault="004A3F7F" w:rsidP="006A5154">
      <w:pPr>
        <w:ind w:left="709"/>
      </w:pPr>
      <w:r w:rsidRPr="00534B75">
        <w:t xml:space="preserve">Most of the ancestral domain </w:t>
      </w:r>
      <w:r>
        <w:t xml:space="preserve">(evidenced by </w:t>
      </w:r>
      <w:r w:rsidR="006679FF">
        <w:t>C</w:t>
      </w:r>
      <w:r w:rsidR="00D968EE">
        <w:t>ADTs</w:t>
      </w:r>
      <w:r w:rsidRPr="00534B75">
        <w:t xml:space="preserve">) </w:t>
      </w:r>
      <w:r>
        <w:t>issued under IPRA</w:t>
      </w:r>
      <w:r w:rsidR="00D968EE">
        <w:t xml:space="preserve"> (</w:t>
      </w:r>
      <w:r w:rsidR="00EA2B9C">
        <w:t xml:space="preserve">see section </w:t>
      </w:r>
      <w:r w:rsidR="00B23591">
        <w:fldChar w:fldCharType="begin"/>
      </w:r>
      <w:r w:rsidR="00B23591">
        <w:instrText xml:space="preserve"> REF _Ref496881188 \r \h </w:instrText>
      </w:r>
      <w:r w:rsidR="00B23591">
        <w:fldChar w:fldCharType="separate"/>
      </w:r>
      <w:r w:rsidR="003049FC">
        <w:t>3.2(a)</w:t>
      </w:r>
      <w:r w:rsidR="00B23591">
        <w:fldChar w:fldCharType="end"/>
      </w:r>
      <w:r w:rsidR="00EA2B9C">
        <w:t xml:space="preserve"> for further discussion</w:t>
      </w:r>
      <w:r>
        <w:t xml:space="preserve">) </w:t>
      </w:r>
      <w:r w:rsidRPr="00534B75">
        <w:t>are</w:t>
      </w:r>
      <w:r>
        <w:t xml:space="preserve"> located within forestlands</w:t>
      </w:r>
      <w:r w:rsidRPr="00534B75">
        <w:t>. As of 2012, approximately 158 CADTs had been issued, covering 14 per cent</w:t>
      </w:r>
      <w:r>
        <w:t xml:space="preserve"> of the Philippines total land.</w:t>
      </w:r>
      <w:r>
        <w:rPr>
          <w:rStyle w:val="FootnoteReference"/>
          <w:lang w:val="en"/>
        </w:rPr>
        <w:footnoteReference w:id="26"/>
      </w:r>
      <w:r w:rsidR="00BE54E9">
        <w:t xml:space="preserve"> </w:t>
      </w:r>
      <w:r w:rsidRPr="00534B75">
        <w:t>There are then further divisions</w:t>
      </w:r>
      <w:r>
        <w:t xml:space="preserve"> of public domain</w:t>
      </w:r>
      <w:r w:rsidRPr="00534B75">
        <w:t xml:space="preserve"> according to designated land use.</w:t>
      </w:r>
      <w:r>
        <w:t xml:space="preserve"> </w:t>
      </w:r>
      <w:r w:rsidR="00BE54E9">
        <w:t>In addition to i</w:t>
      </w:r>
      <w:r w:rsidRPr="00534B75">
        <w:t>nitial holders of tenure</w:t>
      </w:r>
      <w:r w:rsidR="00BE54E9">
        <w:t>,</w:t>
      </w:r>
      <w:r w:rsidRPr="00534B75">
        <w:t xml:space="preserve"> tenure rights extend through rentals, permits or informal agreements such as usufruct.</w:t>
      </w:r>
    </w:p>
    <w:p w:rsidR="004A3F7F" w:rsidRDefault="00BE54E9" w:rsidP="006A5154">
      <w:pPr>
        <w:pStyle w:val="AllensHeading3"/>
        <w:numPr>
          <w:ilvl w:val="0"/>
          <w:numId w:val="0"/>
        </w:numPr>
        <w:ind w:left="709"/>
      </w:pPr>
      <w:r>
        <w:t>A</w:t>
      </w:r>
      <w:r w:rsidR="004A3F7F">
        <w:t>dministration of tenure in the Philippines is largely inadequate.</w:t>
      </w:r>
      <w:r w:rsidR="004A3F7F">
        <w:rPr>
          <w:rStyle w:val="FootnoteReference"/>
        </w:rPr>
        <w:footnoteReference w:id="27"/>
      </w:r>
      <w:r w:rsidR="004A3F7F">
        <w:t xml:space="preserve"> There is no reliable or accurate source of information on landownership, tenure, boundaries, location, actual land uses and land evaluation. Even delineation of the bound</w:t>
      </w:r>
      <w:r w:rsidR="005B7ACA">
        <w:t>arie</w:t>
      </w:r>
      <w:r w:rsidR="004A3F7F">
        <w:t>s between public, private and ancestral domains are not complete.</w:t>
      </w:r>
      <w:r w:rsidR="004A3F7F">
        <w:rPr>
          <w:rStyle w:val="FootnoteReference"/>
        </w:rPr>
        <w:footnoteReference w:id="28"/>
      </w:r>
      <w:r w:rsidR="004A3F7F">
        <w:t xml:space="preserve"> There is no set of cadastral maps that show titled and untitled property or how land parcels fit under the different tenure instruments.</w:t>
      </w:r>
      <w:r w:rsidR="004A3F7F">
        <w:rPr>
          <w:rStyle w:val="FootnoteReference"/>
        </w:rPr>
        <w:footnoteReference w:id="29"/>
      </w:r>
      <w:r w:rsidR="004A3F7F">
        <w:t xml:space="preserve"> The complex, fragmented and overlapping landscape of laws that deal with the different tenure instruments mean inconsistency among the many government and non-government agencies involved</w:t>
      </w:r>
      <w:r w:rsidR="00EA2B9C">
        <w:t>.</w:t>
      </w:r>
      <w:r w:rsidR="0006021E">
        <w:t xml:space="preserve"> </w:t>
      </w:r>
      <w:r w:rsidR="00EA2B9C">
        <w:t>F</w:t>
      </w:r>
      <w:r w:rsidR="004A3F7F">
        <w:t>or example</w:t>
      </w:r>
      <w:r w:rsidR="008D0015">
        <w:t>,</w:t>
      </w:r>
      <w:r w:rsidR="004A3F7F">
        <w:t xml:space="preserve"> </w:t>
      </w:r>
      <w:r w:rsidR="004A3F7F">
        <w:rPr>
          <w:lang w:val="en"/>
        </w:rPr>
        <w:t>Local Government Units (</w:t>
      </w:r>
      <w:r w:rsidR="004A3F7F" w:rsidRPr="005C4248">
        <w:rPr>
          <w:b/>
          <w:i/>
          <w:lang w:val="en"/>
        </w:rPr>
        <w:t>LGUs</w:t>
      </w:r>
      <w:r w:rsidR="004A3F7F">
        <w:rPr>
          <w:lang w:val="en"/>
        </w:rPr>
        <w:t xml:space="preserve">) </w:t>
      </w:r>
      <w:r w:rsidR="004A3F7F">
        <w:t>continue to issue tax declarations even for lands under the public domain that are inalienable.</w:t>
      </w:r>
      <w:r w:rsidR="004A3F7F">
        <w:rPr>
          <w:rStyle w:val="FootnoteReference"/>
        </w:rPr>
        <w:footnoteReference w:id="30"/>
      </w:r>
    </w:p>
    <w:p w:rsidR="004E3B0E" w:rsidRPr="00A10F82" w:rsidRDefault="006A5154" w:rsidP="006A5154">
      <w:pPr>
        <w:pStyle w:val="AllensHeading3"/>
        <w:rPr>
          <w:b/>
        </w:rPr>
      </w:pPr>
      <w:bookmarkStart w:id="23" w:name="Laws"/>
      <w:bookmarkEnd w:id="23"/>
      <w:r w:rsidRPr="00A10F82">
        <w:rPr>
          <w:b/>
        </w:rPr>
        <w:t>What are the key pieces of legislation governing housing, land, building and planning? Please provide links to copies of the legisl</w:t>
      </w:r>
      <w:r w:rsidR="00A10F82" w:rsidRPr="00A10F82">
        <w:rPr>
          <w:b/>
        </w:rPr>
        <w:t>ation.</w:t>
      </w:r>
      <w:r w:rsidR="0033706F" w:rsidRPr="00A10F82">
        <w:rPr>
          <w:b/>
        </w:rPr>
        <w:t xml:space="preserve"> </w:t>
      </w:r>
    </w:p>
    <w:p w:rsidR="00534B75" w:rsidRDefault="00534B75" w:rsidP="00A10F82">
      <w:pPr>
        <w:pStyle w:val="NormalIndent"/>
        <w:jc w:val="both"/>
      </w:pPr>
      <w:r>
        <w:t>There is a number of Acts, Presidential Decrees, Executive Orders, Administrative Orders and Departmental Circulars which govern the operation of housing, land, building and planning law in the Philippines.</w:t>
      </w:r>
    </w:p>
    <w:p w:rsidR="00672E30" w:rsidRDefault="00672E30" w:rsidP="00A10F82">
      <w:pPr>
        <w:pStyle w:val="NormalIndent"/>
        <w:jc w:val="both"/>
      </w:pPr>
      <w:r>
        <w:t>The Constitution provides the broad framework and principles on the governance of tenure</w:t>
      </w:r>
      <w:r w:rsidR="0060078B">
        <w:t xml:space="preserve"> but </w:t>
      </w:r>
      <w:r>
        <w:t xml:space="preserve">does not deal with operational matters of </w:t>
      </w:r>
      <w:r w:rsidR="00F7533C">
        <w:t>l</w:t>
      </w:r>
      <w:r>
        <w:t xml:space="preserve">and </w:t>
      </w:r>
      <w:r w:rsidR="00F7533C">
        <w:t>administration.</w:t>
      </w:r>
    </w:p>
    <w:p w:rsidR="00672E30" w:rsidRDefault="00672E30" w:rsidP="00A10F82">
      <w:pPr>
        <w:pStyle w:val="NormalIndent"/>
        <w:jc w:val="both"/>
      </w:pPr>
      <w:r>
        <w:t>The thr</w:t>
      </w:r>
      <w:r w:rsidR="0060078B">
        <w:t xml:space="preserve">ee sector based tenure reforms (listed below) </w:t>
      </w:r>
      <w:r>
        <w:t>cover</w:t>
      </w:r>
      <w:r w:rsidR="0060078B">
        <w:t xml:space="preserve"> in greater detail</w:t>
      </w:r>
      <w:r>
        <w:t xml:space="preserve"> the tenure rights of disadvantaged sectors as provided for in the Constitution</w:t>
      </w:r>
      <w:r w:rsidR="007C46C4">
        <w:t xml:space="preserve">. </w:t>
      </w:r>
      <w:r>
        <w:t xml:space="preserve">The laws on resource management, protection and use </w:t>
      </w:r>
      <w:r w:rsidR="0060078B">
        <w:t>(listed below)</w:t>
      </w:r>
      <w:r>
        <w:t xml:space="preserve"> bolster the tenure governance and provide some safeguards and legal recognition of tenure rights in public lands, forestry and fisheries, including the rights of </w:t>
      </w:r>
      <w:r w:rsidR="0060078B">
        <w:t>ICCs/IPs</w:t>
      </w:r>
      <w:r>
        <w:t xml:space="preserve">. However, the main focus of these laws </w:t>
      </w:r>
      <w:r w:rsidR="0054331D">
        <w:t xml:space="preserve">is </w:t>
      </w:r>
      <w:r w:rsidR="00F7533C">
        <w:t xml:space="preserve">on </w:t>
      </w:r>
      <w:r w:rsidR="0054331D">
        <w:t>investment not tenure reform.</w:t>
      </w:r>
      <w:bookmarkStart w:id="24" w:name="_Ref504464779"/>
      <w:r w:rsidR="0060078B">
        <w:rPr>
          <w:rStyle w:val="FootnoteReference"/>
        </w:rPr>
        <w:footnoteReference w:id="31"/>
      </w:r>
      <w:bookmarkEnd w:id="24"/>
      <w:r w:rsidR="0054331D">
        <w:t xml:space="preserve"> </w:t>
      </w:r>
    </w:p>
    <w:p w:rsidR="00472F0B" w:rsidRDefault="009C6D2F" w:rsidP="00A10F82">
      <w:pPr>
        <w:pStyle w:val="AllensHeading3"/>
        <w:numPr>
          <w:ilvl w:val="0"/>
          <w:numId w:val="0"/>
        </w:numPr>
        <w:ind w:left="709"/>
        <w:jc w:val="both"/>
      </w:pPr>
      <w:r>
        <w:t>The key pieces of legislation governing housing, land, build</w:t>
      </w:r>
      <w:r w:rsidR="0033706F">
        <w:t>ing and planning are as follows:</w:t>
      </w:r>
      <w:r w:rsidR="00472F0B">
        <w:t xml:space="preserve"> </w:t>
      </w:r>
    </w:p>
    <w:p w:rsidR="00F7533C" w:rsidRPr="00FA62B7" w:rsidRDefault="006A113A" w:rsidP="00F7533C">
      <w:pPr>
        <w:pStyle w:val="Bullet1"/>
        <w:ind w:left="1418"/>
        <w:jc w:val="both"/>
        <w:rPr>
          <w:rStyle w:val="Hyperlink"/>
          <w:rFonts w:cs="Arial"/>
          <w:color w:val="auto"/>
          <w:u w:val="none"/>
        </w:rPr>
      </w:pPr>
      <w:hyperlink r:id="rId20" w:history="1">
        <w:r w:rsidR="00F7533C" w:rsidRPr="00F822EE">
          <w:rPr>
            <w:rStyle w:val="Hyperlink"/>
            <w:rFonts w:cs="Arial"/>
          </w:rPr>
          <w:t>CA 141</w:t>
        </w:r>
      </w:hyperlink>
    </w:p>
    <w:p w:rsidR="000003A0" w:rsidRPr="00934042" w:rsidRDefault="006A113A" w:rsidP="000C14A0">
      <w:pPr>
        <w:pStyle w:val="Bullet1"/>
        <w:ind w:left="1418"/>
        <w:jc w:val="both"/>
        <w:rPr>
          <w:rFonts w:cs="Arial"/>
        </w:rPr>
      </w:pPr>
      <w:hyperlink r:id="rId21" w:history="1">
        <w:r w:rsidR="000003A0" w:rsidRPr="0014020A">
          <w:rPr>
            <w:rStyle w:val="Hyperlink"/>
            <w:rFonts w:cs="Arial"/>
            <w:i/>
          </w:rPr>
          <w:t>Cadastral Act of 1913</w:t>
        </w:r>
      </w:hyperlink>
      <w:r w:rsidR="000003A0">
        <w:rPr>
          <w:rFonts w:cs="Arial"/>
        </w:rPr>
        <w:t xml:space="preserve"> (Act 2259) (</w:t>
      </w:r>
      <w:r w:rsidR="000003A0" w:rsidRPr="000003A0">
        <w:rPr>
          <w:rFonts w:cs="Arial"/>
          <w:b/>
          <w:i/>
        </w:rPr>
        <w:t>CA 2259</w:t>
      </w:r>
      <w:r w:rsidR="000003A0">
        <w:rPr>
          <w:rFonts w:cs="Arial"/>
        </w:rPr>
        <w:t>)</w:t>
      </w:r>
    </w:p>
    <w:p w:rsidR="00F7533C" w:rsidRPr="00F7533C" w:rsidRDefault="006A113A" w:rsidP="000C14A0">
      <w:pPr>
        <w:pStyle w:val="Bullet1"/>
        <w:ind w:left="1418"/>
        <w:jc w:val="both"/>
        <w:rPr>
          <w:rFonts w:cs="Arial"/>
        </w:rPr>
      </w:pPr>
      <w:hyperlink r:id="rId22" w:history="1">
        <w:r w:rsidR="00F7533C" w:rsidRPr="00D32777">
          <w:rPr>
            <w:rStyle w:val="Hyperlink"/>
            <w:rFonts w:cs="Arial"/>
          </w:rPr>
          <w:t>Civil Code</w:t>
        </w:r>
      </w:hyperlink>
    </w:p>
    <w:p w:rsidR="00F7533C" w:rsidRPr="00F7533C" w:rsidRDefault="006A113A" w:rsidP="000C14A0">
      <w:pPr>
        <w:pStyle w:val="Bullet1"/>
        <w:ind w:left="1418"/>
        <w:jc w:val="both"/>
        <w:rPr>
          <w:rFonts w:cs="Arial"/>
        </w:rPr>
      </w:pPr>
      <w:hyperlink r:id="rId23" w:history="1">
        <w:r w:rsidR="00F7533C" w:rsidRPr="00D32777">
          <w:rPr>
            <w:rStyle w:val="Hyperlink"/>
            <w:rFonts w:cs="Arial"/>
          </w:rPr>
          <w:t>Constitution</w:t>
        </w:r>
      </w:hyperlink>
    </w:p>
    <w:p w:rsidR="000003A0" w:rsidRPr="000003A0" w:rsidRDefault="006A113A" w:rsidP="000C14A0">
      <w:pPr>
        <w:pStyle w:val="Bullet1"/>
        <w:ind w:left="1418"/>
        <w:jc w:val="both"/>
        <w:rPr>
          <w:rFonts w:cs="Arial"/>
        </w:rPr>
      </w:pPr>
      <w:hyperlink r:id="rId24" w:history="1">
        <w:r w:rsidR="000003A0" w:rsidRPr="00D32777">
          <w:rPr>
            <w:rStyle w:val="Hyperlink"/>
            <w:rFonts w:cs="Arial"/>
            <w:i/>
          </w:rPr>
          <w:t>Disposition of Lands for Socialized Housing of 2006</w:t>
        </w:r>
      </w:hyperlink>
      <w:r w:rsidR="000003A0" w:rsidRPr="000003A0">
        <w:rPr>
          <w:rFonts w:cs="Arial"/>
          <w:i/>
        </w:rPr>
        <w:t xml:space="preserve"> </w:t>
      </w:r>
      <w:r w:rsidR="000003A0" w:rsidRPr="000003A0">
        <w:rPr>
          <w:rFonts w:cs="Arial"/>
        </w:rPr>
        <w:t>(Republic Act 9397)</w:t>
      </w:r>
    </w:p>
    <w:p w:rsidR="000003A0" w:rsidRPr="00FA62B7" w:rsidRDefault="006A113A" w:rsidP="000C14A0">
      <w:pPr>
        <w:pStyle w:val="Bullet1"/>
        <w:ind w:left="1418"/>
        <w:jc w:val="both"/>
        <w:rPr>
          <w:rFonts w:cs="Arial"/>
        </w:rPr>
      </w:pPr>
      <w:hyperlink r:id="rId25" w:history="1">
        <w:r w:rsidR="000003A0" w:rsidRPr="00D32777">
          <w:rPr>
            <w:rStyle w:val="Hyperlink"/>
            <w:rFonts w:cs="Arial"/>
            <w:i/>
          </w:rPr>
          <w:t>Environmental Planning Act of 2013</w:t>
        </w:r>
      </w:hyperlink>
      <w:r w:rsidR="000003A0" w:rsidRPr="00FA62B7">
        <w:rPr>
          <w:rFonts w:cs="Arial"/>
        </w:rPr>
        <w:t xml:space="preserve"> (Republic Act 10587)</w:t>
      </w:r>
    </w:p>
    <w:p w:rsidR="000003A0" w:rsidRPr="00FA62B7" w:rsidRDefault="006A113A" w:rsidP="000C14A0">
      <w:pPr>
        <w:numPr>
          <w:ilvl w:val="0"/>
          <w:numId w:val="2"/>
        </w:numPr>
        <w:ind w:left="1418"/>
        <w:jc w:val="both"/>
        <w:rPr>
          <w:rFonts w:eastAsiaTheme="minorHAnsi" w:cs="Arial"/>
          <w:lang w:eastAsia="en-US"/>
        </w:rPr>
      </w:pPr>
      <w:hyperlink r:id="rId26" w:history="1">
        <w:r w:rsidR="000003A0" w:rsidRPr="00DC4700">
          <w:rPr>
            <w:rStyle w:val="Hyperlink"/>
            <w:rFonts w:eastAsiaTheme="minorHAnsi" w:cs="Arial"/>
            <w:i/>
            <w:lang w:eastAsia="en-US"/>
          </w:rPr>
          <w:t>Family Code of the Philippines of 1987</w:t>
        </w:r>
      </w:hyperlink>
      <w:r w:rsidR="000003A0" w:rsidRPr="00FA62B7">
        <w:rPr>
          <w:rFonts w:eastAsiaTheme="minorHAnsi" w:cs="Arial"/>
          <w:lang w:eastAsia="en-US"/>
        </w:rPr>
        <w:t xml:space="preserve"> (</w:t>
      </w:r>
      <w:r w:rsidR="000003A0">
        <w:rPr>
          <w:rFonts w:eastAsiaTheme="minorHAnsi" w:cs="Arial"/>
          <w:lang w:eastAsia="en-US"/>
        </w:rPr>
        <w:t>Republic Act</w:t>
      </w:r>
      <w:r w:rsidR="000003A0" w:rsidRPr="00FA62B7">
        <w:rPr>
          <w:rFonts w:eastAsiaTheme="minorHAnsi" w:cs="Arial"/>
          <w:lang w:eastAsia="en-US"/>
        </w:rPr>
        <w:t xml:space="preserve"> 209)</w:t>
      </w:r>
    </w:p>
    <w:p w:rsidR="000003A0" w:rsidRPr="00FA62B7" w:rsidRDefault="000003A0" w:rsidP="000C14A0">
      <w:pPr>
        <w:numPr>
          <w:ilvl w:val="0"/>
          <w:numId w:val="2"/>
        </w:numPr>
        <w:ind w:left="1418"/>
        <w:jc w:val="both"/>
        <w:rPr>
          <w:rFonts w:eastAsiaTheme="minorHAnsi" w:cs="Arial"/>
          <w:lang w:eastAsia="en-US"/>
        </w:rPr>
      </w:pPr>
      <w:r w:rsidRPr="00FA62B7">
        <w:rPr>
          <w:rFonts w:eastAsiaTheme="minorHAnsi" w:cs="Arial"/>
          <w:i/>
          <w:lang w:eastAsia="en-US"/>
        </w:rPr>
        <w:t>Land Regi</w:t>
      </w:r>
      <w:r>
        <w:rPr>
          <w:rFonts w:eastAsiaTheme="minorHAnsi" w:cs="Arial"/>
          <w:i/>
          <w:lang w:eastAsia="en-US"/>
        </w:rPr>
        <w:t xml:space="preserve">stration Act of 1902 </w:t>
      </w:r>
      <w:r w:rsidRPr="00FA62B7">
        <w:rPr>
          <w:rFonts w:eastAsiaTheme="minorHAnsi" w:cs="Arial"/>
          <w:lang w:eastAsia="en-US"/>
        </w:rPr>
        <w:t>(</w:t>
      </w:r>
      <w:r>
        <w:rPr>
          <w:rFonts w:eastAsiaTheme="minorHAnsi" w:cs="Arial"/>
          <w:lang w:eastAsia="en-US"/>
        </w:rPr>
        <w:t>Act</w:t>
      </w:r>
      <w:r w:rsidRPr="00FA62B7">
        <w:rPr>
          <w:rFonts w:eastAsiaTheme="minorHAnsi" w:cs="Arial"/>
          <w:lang w:eastAsia="en-US"/>
        </w:rPr>
        <w:t xml:space="preserve"> 496) </w:t>
      </w:r>
    </w:p>
    <w:p w:rsidR="000003A0" w:rsidRPr="00FA62B7" w:rsidRDefault="006A113A" w:rsidP="00FA62B7">
      <w:pPr>
        <w:numPr>
          <w:ilvl w:val="0"/>
          <w:numId w:val="2"/>
        </w:numPr>
        <w:ind w:left="1418"/>
        <w:jc w:val="both"/>
        <w:rPr>
          <w:rFonts w:eastAsiaTheme="minorHAnsi" w:cs="Arial"/>
          <w:lang w:eastAsia="en-US"/>
        </w:rPr>
      </w:pPr>
      <w:hyperlink r:id="rId27" w:history="1">
        <w:r w:rsidR="000003A0" w:rsidRPr="00DC4700">
          <w:rPr>
            <w:rStyle w:val="Hyperlink"/>
            <w:rFonts w:eastAsiaTheme="minorHAnsi" w:cs="Arial"/>
            <w:i/>
            <w:lang w:eastAsia="en-US"/>
          </w:rPr>
          <w:t>Local Government Code of 1991</w:t>
        </w:r>
        <w:r w:rsidR="000003A0" w:rsidRPr="00DC4700">
          <w:rPr>
            <w:rStyle w:val="Hyperlink"/>
            <w:rFonts w:eastAsiaTheme="minorHAnsi" w:cs="Arial"/>
            <w:lang w:eastAsia="en-US"/>
          </w:rPr>
          <w:t xml:space="preserve"> </w:t>
        </w:r>
      </w:hyperlink>
      <w:r w:rsidR="000003A0">
        <w:rPr>
          <w:rFonts w:eastAsiaTheme="minorHAnsi" w:cs="Arial"/>
          <w:lang w:eastAsia="en-US"/>
        </w:rPr>
        <w:t>(Republic Act</w:t>
      </w:r>
      <w:r w:rsidR="000003A0" w:rsidRPr="00FA62B7">
        <w:rPr>
          <w:rFonts w:eastAsiaTheme="minorHAnsi" w:cs="Arial"/>
          <w:lang w:eastAsia="en-US"/>
        </w:rPr>
        <w:t xml:space="preserve"> 7160) </w:t>
      </w:r>
      <w:r w:rsidR="00BB7A13">
        <w:rPr>
          <w:rFonts w:eastAsiaTheme="minorHAnsi" w:cs="Arial"/>
          <w:lang w:eastAsia="en-US"/>
        </w:rPr>
        <w:t>(</w:t>
      </w:r>
      <w:r w:rsidR="00BB7A13" w:rsidRPr="00BB7A13">
        <w:rPr>
          <w:rFonts w:eastAsiaTheme="minorHAnsi" w:cs="Arial"/>
          <w:b/>
          <w:i/>
          <w:lang w:eastAsia="en-US"/>
        </w:rPr>
        <w:t>Local Government Code</w:t>
      </w:r>
      <w:r w:rsidR="00BB7A13">
        <w:rPr>
          <w:rFonts w:eastAsiaTheme="minorHAnsi" w:cs="Arial"/>
          <w:lang w:eastAsia="en-US"/>
        </w:rPr>
        <w:t>)</w:t>
      </w:r>
    </w:p>
    <w:p w:rsidR="000003A0" w:rsidRPr="00FA62B7" w:rsidRDefault="006A113A" w:rsidP="000C14A0">
      <w:pPr>
        <w:pStyle w:val="Bullet1"/>
        <w:ind w:left="1418"/>
        <w:jc w:val="both"/>
        <w:rPr>
          <w:rFonts w:cs="Arial"/>
        </w:rPr>
      </w:pPr>
      <w:hyperlink r:id="rId28" w:history="1">
        <w:r w:rsidR="000003A0" w:rsidRPr="00DC4700">
          <w:rPr>
            <w:rStyle w:val="Hyperlink"/>
            <w:rFonts w:cs="Arial"/>
            <w:i/>
          </w:rPr>
          <w:t>Public Land Act of 1919</w:t>
        </w:r>
      </w:hyperlink>
      <w:r w:rsidR="000003A0" w:rsidRPr="00FA62B7">
        <w:rPr>
          <w:rFonts w:cs="Arial"/>
          <w:i/>
        </w:rPr>
        <w:t xml:space="preserve"> </w:t>
      </w:r>
      <w:r w:rsidR="000003A0" w:rsidRPr="00FA62B7">
        <w:rPr>
          <w:rFonts w:cs="Arial"/>
        </w:rPr>
        <w:t>(Act 2874)</w:t>
      </w:r>
    </w:p>
    <w:p w:rsidR="000003A0" w:rsidRPr="00FA62B7" w:rsidRDefault="006A113A" w:rsidP="000C14A0">
      <w:pPr>
        <w:pStyle w:val="Bullet1"/>
        <w:ind w:left="1418"/>
        <w:jc w:val="both"/>
        <w:rPr>
          <w:rFonts w:cs="Arial"/>
        </w:rPr>
      </w:pPr>
      <w:hyperlink r:id="rId29" w:history="1">
        <w:r w:rsidR="000003A0" w:rsidRPr="00B84820">
          <w:rPr>
            <w:rStyle w:val="Hyperlink"/>
            <w:rFonts w:cs="Arial"/>
            <w:i/>
          </w:rPr>
          <w:t>Residential Free Patent Act of 2009</w:t>
        </w:r>
      </w:hyperlink>
      <w:r w:rsidR="000003A0" w:rsidRPr="00FA62B7">
        <w:rPr>
          <w:rFonts w:cs="Arial"/>
        </w:rPr>
        <w:t xml:space="preserve"> (Republic Act 10023)</w:t>
      </w:r>
      <w:r w:rsidR="000003A0">
        <w:rPr>
          <w:rFonts w:cs="Arial"/>
        </w:rPr>
        <w:t xml:space="preserve"> (</w:t>
      </w:r>
      <w:r w:rsidR="000003A0" w:rsidRPr="000003A0">
        <w:rPr>
          <w:rFonts w:cs="Arial"/>
          <w:b/>
          <w:i/>
        </w:rPr>
        <w:t>RFP Act</w:t>
      </w:r>
      <w:r w:rsidR="000003A0">
        <w:rPr>
          <w:rFonts w:cs="Arial"/>
        </w:rPr>
        <w:t>)</w:t>
      </w:r>
    </w:p>
    <w:p w:rsidR="000003A0" w:rsidRPr="000003A0" w:rsidRDefault="006A113A" w:rsidP="000C14A0">
      <w:pPr>
        <w:pStyle w:val="Bullet1"/>
        <w:ind w:left="1418"/>
        <w:jc w:val="both"/>
        <w:rPr>
          <w:rFonts w:cs="Arial"/>
        </w:rPr>
      </w:pPr>
      <w:hyperlink r:id="rId30" w:history="1">
        <w:r w:rsidR="000003A0" w:rsidRPr="009E51DA">
          <w:rPr>
            <w:rStyle w:val="Hyperlink"/>
            <w:rFonts w:cs="Arial"/>
            <w:i/>
          </w:rPr>
          <w:t>The Condominium Act of 1966</w:t>
        </w:r>
        <w:r w:rsidR="000003A0" w:rsidRPr="009E51DA">
          <w:rPr>
            <w:rStyle w:val="Hyperlink"/>
            <w:rFonts w:cs="Arial"/>
          </w:rPr>
          <w:t xml:space="preserve"> </w:t>
        </w:r>
      </w:hyperlink>
      <w:r w:rsidR="000003A0">
        <w:rPr>
          <w:rFonts w:cs="Arial"/>
        </w:rPr>
        <w:t>(Republic Act 4726)</w:t>
      </w:r>
    </w:p>
    <w:p w:rsidR="000003A0" w:rsidRPr="00FA62B7" w:rsidRDefault="006A113A" w:rsidP="000C14A0">
      <w:pPr>
        <w:pStyle w:val="Bullet1"/>
        <w:ind w:left="1418"/>
        <w:jc w:val="both"/>
        <w:rPr>
          <w:rFonts w:eastAsiaTheme="minorHAnsi" w:cs="Arial"/>
          <w:lang w:eastAsia="en-US"/>
        </w:rPr>
      </w:pPr>
      <w:hyperlink r:id="rId31" w:history="1">
        <w:r w:rsidR="000003A0" w:rsidRPr="00276F4D">
          <w:rPr>
            <w:rStyle w:val="Hyperlink"/>
            <w:rFonts w:cs="Arial"/>
            <w:i/>
          </w:rPr>
          <w:t>Urban Development and Housing Act of 1992</w:t>
        </w:r>
        <w:r w:rsidR="000003A0" w:rsidRPr="00276F4D">
          <w:rPr>
            <w:rStyle w:val="Hyperlink"/>
            <w:rFonts w:cs="Arial"/>
          </w:rPr>
          <w:t xml:space="preserve"> </w:t>
        </w:r>
      </w:hyperlink>
      <w:r w:rsidR="000003A0">
        <w:rPr>
          <w:rFonts w:cs="Arial"/>
        </w:rPr>
        <w:t>(Republic Act 7279) (</w:t>
      </w:r>
      <w:r w:rsidR="000003A0" w:rsidRPr="000003A0">
        <w:rPr>
          <w:rFonts w:cs="Arial"/>
          <w:b/>
          <w:i/>
        </w:rPr>
        <w:t>UDHA</w:t>
      </w:r>
      <w:r w:rsidR="000003A0">
        <w:rPr>
          <w:rFonts w:cs="Arial"/>
        </w:rPr>
        <w:t>)</w:t>
      </w:r>
    </w:p>
    <w:p w:rsidR="00A31EF9" w:rsidRPr="00FA62B7" w:rsidRDefault="00A31EF9" w:rsidP="009B10B7">
      <w:pPr>
        <w:ind w:left="709"/>
        <w:jc w:val="both"/>
        <w:rPr>
          <w:rFonts w:eastAsiaTheme="minorHAnsi" w:cs="Arial"/>
          <w:b/>
          <w:lang w:eastAsia="en-US"/>
        </w:rPr>
      </w:pPr>
      <w:r w:rsidRPr="00FA62B7">
        <w:rPr>
          <w:rFonts w:eastAsiaTheme="minorHAnsi" w:cs="Arial"/>
          <w:b/>
          <w:lang w:eastAsia="en-US"/>
        </w:rPr>
        <w:t>Sectoral tenure reforms (rural sector)</w:t>
      </w:r>
    </w:p>
    <w:p w:rsidR="000003A0" w:rsidRPr="00FA62B7" w:rsidRDefault="006A113A" w:rsidP="000C14A0">
      <w:pPr>
        <w:numPr>
          <w:ilvl w:val="0"/>
          <w:numId w:val="2"/>
        </w:numPr>
        <w:ind w:left="1418"/>
        <w:jc w:val="both"/>
        <w:rPr>
          <w:rFonts w:eastAsiaTheme="minorHAnsi" w:cs="Arial"/>
          <w:lang w:eastAsia="en-US"/>
        </w:rPr>
      </w:pPr>
      <w:hyperlink r:id="rId32" w:history="1">
        <w:r w:rsidR="000003A0" w:rsidRPr="0037783D">
          <w:rPr>
            <w:rStyle w:val="Hyperlink"/>
            <w:rFonts w:eastAsiaTheme="minorHAnsi" w:cs="Arial"/>
            <w:i/>
            <w:lang w:eastAsia="en-US"/>
          </w:rPr>
          <w:t>Comprehensive Agrarian Reform Law of 1988</w:t>
        </w:r>
      </w:hyperlink>
      <w:r w:rsidR="000003A0" w:rsidRPr="00FA62B7">
        <w:rPr>
          <w:rFonts w:eastAsiaTheme="minorHAnsi" w:cs="Arial"/>
          <w:i/>
          <w:lang w:eastAsia="en-US"/>
        </w:rPr>
        <w:t xml:space="preserve"> </w:t>
      </w:r>
      <w:r w:rsidR="000003A0" w:rsidRPr="00FA62B7">
        <w:rPr>
          <w:rFonts w:eastAsiaTheme="minorHAnsi" w:cs="Arial"/>
          <w:lang w:eastAsia="en-US"/>
        </w:rPr>
        <w:t xml:space="preserve">(Republic Act 6657) </w:t>
      </w:r>
      <w:r w:rsidR="000003A0">
        <w:rPr>
          <w:rFonts w:eastAsiaTheme="minorHAnsi" w:cs="Arial"/>
          <w:lang w:eastAsia="en-US"/>
        </w:rPr>
        <w:t>(</w:t>
      </w:r>
      <w:r w:rsidR="000003A0" w:rsidRPr="000003A0">
        <w:rPr>
          <w:rFonts w:eastAsiaTheme="minorHAnsi" w:cs="Arial"/>
          <w:b/>
          <w:i/>
          <w:lang w:eastAsia="en-US"/>
        </w:rPr>
        <w:t>CARL</w:t>
      </w:r>
      <w:r w:rsidR="000003A0">
        <w:rPr>
          <w:rFonts w:eastAsiaTheme="minorHAnsi" w:cs="Arial"/>
          <w:lang w:eastAsia="en-US"/>
        </w:rPr>
        <w:t xml:space="preserve">) </w:t>
      </w:r>
      <w:r w:rsidR="000003A0" w:rsidRPr="00FA62B7">
        <w:rPr>
          <w:rFonts w:eastAsiaTheme="minorHAnsi" w:cs="Arial"/>
          <w:lang w:eastAsia="en-US"/>
        </w:rPr>
        <w:t xml:space="preserve">as amended by </w:t>
      </w:r>
      <w:hyperlink r:id="rId33" w:history="1">
        <w:r w:rsidR="000003A0" w:rsidRPr="0037783D">
          <w:rPr>
            <w:rStyle w:val="Hyperlink"/>
            <w:i/>
          </w:rPr>
          <w:t>Comprehensive Agrarian Reform Program Extension with Reforms of 2009</w:t>
        </w:r>
      </w:hyperlink>
      <w:r w:rsidR="000003A0">
        <w:t xml:space="preserve"> </w:t>
      </w:r>
      <w:r w:rsidR="000003A0" w:rsidRPr="00FA62B7">
        <w:rPr>
          <w:rFonts w:eastAsiaTheme="minorHAnsi" w:cs="Arial"/>
          <w:lang w:eastAsia="en-US"/>
        </w:rPr>
        <w:t xml:space="preserve">(Republic Act 9700) </w:t>
      </w:r>
      <w:r w:rsidR="000003A0">
        <w:rPr>
          <w:rFonts w:eastAsiaTheme="minorHAnsi" w:cs="Arial"/>
          <w:lang w:eastAsia="en-US"/>
        </w:rPr>
        <w:t>(</w:t>
      </w:r>
      <w:r w:rsidR="000003A0">
        <w:rPr>
          <w:rFonts w:eastAsiaTheme="minorHAnsi" w:cs="Arial"/>
          <w:b/>
          <w:i/>
          <w:lang w:eastAsia="en-US"/>
        </w:rPr>
        <w:t>CARPER</w:t>
      </w:r>
      <w:r w:rsidR="000003A0">
        <w:rPr>
          <w:rFonts w:eastAsiaTheme="minorHAnsi" w:cs="Arial"/>
          <w:lang w:eastAsia="en-US"/>
        </w:rPr>
        <w:t>)</w:t>
      </w:r>
    </w:p>
    <w:p w:rsidR="003F53B4" w:rsidRPr="00FA62B7" w:rsidRDefault="006A113A" w:rsidP="003F53B4">
      <w:pPr>
        <w:numPr>
          <w:ilvl w:val="0"/>
          <w:numId w:val="2"/>
        </w:numPr>
        <w:ind w:left="1418"/>
        <w:jc w:val="both"/>
        <w:rPr>
          <w:rFonts w:eastAsiaTheme="minorHAnsi" w:cs="Arial"/>
          <w:lang w:eastAsia="en-US"/>
        </w:rPr>
      </w:pPr>
      <w:hyperlink r:id="rId34" w:history="1">
        <w:r w:rsidR="003F53B4" w:rsidRPr="0037783D">
          <w:rPr>
            <w:rStyle w:val="Hyperlink"/>
            <w:rFonts w:eastAsiaTheme="minorHAnsi" w:cs="Arial"/>
            <w:lang w:eastAsia="en-US"/>
          </w:rPr>
          <w:t>IPRA</w:t>
        </w:r>
      </w:hyperlink>
    </w:p>
    <w:p w:rsidR="000003A0" w:rsidRPr="00FA62B7" w:rsidRDefault="006A113A" w:rsidP="000C14A0">
      <w:pPr>
        <w:numPr>
          <w:ilvl w:val="0"/>
          <w:numId w:val="2"/>
        </w:numPr>
        <w:ind w:left="1418"/>
        <w:jc w:val="both"/>
        <w:rPr>
          <w:rFonts w:eastAsiaTheme="minorHAnsi" w:cs="Arial"/>
          <w:lang w:eastAsia="en-US"/>
        </w:rPr>
      </w:pPr>
      <w:hyperlink r:id="rId35" w:history="1">
        <w:r w:rsidR="000003A0" w:rsidRPr="0037783D">
          <w:rPr>
            <w:rStyle w:val="Hyperlink"/>
            <w:rFonts w:eastAsiaTheme="minorHAnsi" w:cs="Arial"/>
            <w:i/>
            <w:lang w:eastAsia="en-US"/>
          </w:rPr>
          <w:t>Philippine Fisheries Code of 1998</w:t>
        </w:r>
      </w:hyperlink>
      <w:r w:rsidR="000003A0" w:rsidRPr="00FA62B7">
        <w:rPr>
          <w:rFonts w:eastAsiaTheme="minorHAnsi" w:cs="Arial"/>
          <w:lang w:eastAsia="en-US"/>
        </w:rPr>
        <w:t xml:space="preserve"> (Republic Act 8550)</w:t>
      </w:r>
      <w:r w:rsidR="008A0004">
        <w:rPr>
          <w:rFonts w:eastAsiaTheme="minorHAnsi" w:cs="Arial"/>
          <w:lang w:eastAsia="en-US"/>
        </w:rPr>
        <w:t xml:space="preserve"> (</w:t>
      </w:r>
      <w:r w:rsidR="008A0004" w:rsidRPr="008A0004">
        <w:rPr>
          <w:rFonts w:eastAsiaTheme="minorHAnsi" w:cs="Arial"/>
          <w:b/>
          <w:i/>
          <w:lang w:eastAsia="en-US"/>
        </w:rPr>
        <w:t>Fisheries Code</w:t>
      </w:r>
      <w:r w:rsidR="008A0004">
        <w:rPr>
          <w:rFonts w:eastAsiaTheme="minorHAnsi" w:cs="Arial"/>
          <w:lang w:eastAsia="en-US"/>
        </w:rPr>
        <w:t>)</w:t>
      </w:r>
    </w:p>
    <w:p w:rsidR="00A31EF9" w:rsidRPr="00FA62B7" w:rsidRDefault="00A31EF9" w:rsidP="005B7ACA">
      <w:pPr>
        <w:keepNext/>
        <w:ind w:left="709"/>
        <w:jc w:val="both"/>
        <w:rPr>
          <w:rFonts w:eastAsiaTheme="minorHAnsi" w:cs="Arial"/>
          <w:b/>
          <w:lang w:eastAsia="en-US"/>
        </w:rPr>
      </w:pPr>
      <w:r w:rsidRPr="00FA62B7">
        <w:rPr>
          <w:rFonts w:eastAsiaTheme="minorHAnsi" w:cs="Arial"/>
          <w:b/>
          <w:lang w:eastAsia="en-US"/>
        </w:rPr>
        <w:t>Natural resource management, protection and use</w:t>
      </w:r>
    </w:p>
    <w:p w:rsidR="000003A0" w:rsidRPr="00FA62B7" w:rsidRDefault="006A113A" w:rsidP="00C77586">
      <w:pPr>
        <w:numPr>
          <w:ilvl w:val="0"/>
          <w:numId w:val="2"/>
        </w:numPr>
        <w:ind w:left="1418"/>
        <w:jc w:val="both"/>
        <w:rPr>
          <w:rFonts w:eastAsiaTheme="minorHAnsi" w:cs="Arial"/>
          <w:lang w:eastAsia="en-US"/>
        </w:rPr>
      </w:pPr>
      <w:hyperlink r:id="rId36" w:history="1">
        <w:r w:rsidR="000003A0" w:rsidRPr="004D534F">
          <w:rPr>
            <w:rStyle w:val="Hyperlink"/>
            <w:rFonts w:eastAsiaTheme="minorHAnsi" w:cs="Arial"/>
            <w:i/>
            <w:lang w:eastAsia="en-US"/>
          </w:rPr>
          <w:t>Mining Act of 1995</w:t>
        </w:r>
      </w:hyperlink>
      <w:r w:rsidR="000003A0" w:rsidRPr="00FA62B7">
        <w:rPr>
          <w:rFonts w:eastAsiaTheme="minorHAnsi" w:cs="Arial"/>
          <w:lang w:eastAsia="en-US"/>
        </w:rPr>
        <w:t xml:space="preserve"> (Republic Act 7942)</w:t>
      </w:r>
    </w:p>
    <w:p w:rsidR="000003A0" w:rsidRPr="00FA62B7" w:rsidRDefault="006A113A" w:rsidP="000C14A0">
      <w:pPr>
        <w:numPr>
          <w:ilvl w:val="0"/>
          <w:numId w:val="2"/>
        </w:numPr>
        <w:ind w:left="1418"/>
        <w:jc w:val="both"/>
        <w:rPr>
          <w:rFonts w:eastAsiaTheme="minorHAnsi" w:cs="Arial"/>
          <w:lang w:eastAsia="en-US"/>
        </w:rPr>
      </w:pPr>
      <w:hyperlink r:id="rId37" w:history="1">
        <w:r w:rsidR="000003A0" w:rsidRPr="004D534F">
          <w:rPr>
            <w:rStyle w:val="Hyperlink"/>
            <w:i/>
            <w:lang w:val="en-US"/>
          </w:rPr>
          <w:t>Revised Forestry Code of 1975</w:t>
        </w:r>
        <w:r w:rsidR="000003A0" w:rsidRPr="004D534F">
          <w:rPr>
            <w:rStyle w:val="Hyperlink"/>
            <w:lang w:val="en-US"/>
          </w:rPr>
          <w:t xml:space="preserve"> </w:t>
        </w:r>
      </w:hyperlink>
      <w:r w:rsidR="000003A0" w:rsidRPr="009E33D5">
        <w:rPr>
          <w:lang w:val="en-US"/>
        </w:rPr>
        <w:t>(</w:t>
      </w:r>
      <w:r w:rsidR="000003A0">
        <w:rPr>
          <w:rFonts w:eastAsiaTheme="minorHAnsi"/>
          <w:lang w:eastAsia="en-US"/>
        </w:rPr>
        <w:t>Presidential Decree No 705</w:t>
      </w:r>
      <w:r w:rsidR="000003A0" w:rsidRPr="009E33D5">
        <w:rPr>
          <w:rFonts w:eastAsiaTheme="minorHAnsi"/>
          <w:lang w:eastAsia="en-US"/>
        </w:rPr>
        <w:t>)</w:t>
      </w:r>
    </w:p>
    <w:p w:rsidR="00A31EF9" w:rsidRPr="00FA62B7" w:rsidRDefault="00A31EF9" w:rsidP="009B10B7">
      <w:pPr>
        <w:ind w:left="709"/>
        <w:jc w:val="both"/>
        <w:rPr>
          <w:rFonts w:cs="Arial"/>
          <w:b/>
        </w:rPr>
      </w:pPr>
      <w:r w:rsidRPr="00FA62B7">
        <w:rPr>
          <w:rFonts w:cs="Arial"/>
          <w:b/>
        </w:rPr>
        <w:t xml:space="preserve">Other </w:t>
      </w:r>
      <w:r w:rsidR="0033706F" w:rsidRPr="00FA62B7">
        <w:rPr>
          <w:rFonts w:cs="Arial"/>
          <w:b/>
        </w:rPr>
        <w:t>Relevant Legislation</w:t>
      </w:r>
    </w:p>
    <w:p w:rsidR="00534B75" w:rsidRPr="00FA62B7" w:rsidRDefault="006A113A" w:rsidP="00FA62B7">
      <w:pPr>
        <w:numPr>
          <w:ilvl w:val="0"/>
          <w:numId w:val="2"/>
        </w:numPr>
        <w:ind w:left="1418"/>
        <w:jc w:val="both"/>
        <w:rPr>
          <w:rFonts w:eastAsiaTheme="minorHAnsi" w:cs="Arial"/>
          <w:lang w:eastAsia="en-US"/>
        </w:rPr>
      </w:pPr>
      <w:hyperlink r:id="rId38" w:history="1">
        <w:r w:rsidR="0054331D" w:rsidRPr="004D534F">
          <w:rPr>
            <w:rStyle w:val="Hyperlink"/>
            <w:rFonts w:eastAsiaTheme="minorHAnsi" w:cs="Arial"/>
            <w:i/>
            <w:lang w:eastAsia="en-US"/>
          </w:rPr>
          <w:t>Philippine Disaster Risk Reduction and Management Act of 2010</w:t>
        </w:r>
      </w:hyperlink>
      <w:r w:rsidR="0054331D" w:rsidRPr="00FA62B7">
        <w:rPr>
          <w:rFonts w:eastAsiaTheme="minorHAnsi" w:cs="Arial"/>
          <w:lang w:eastAsia="en-US"/>
        </w:rPr>
        <w:t xml:space="preserve"> (R</w:t>
      </w:r>
      <w:r w:rsidR="00C77586" w:rsidRPr="00FA62B7">
        <w:rPr>
          <w:rFonts w:eastAsiaTheme="minorHAnsi" w:cs="Arial"/>
          <w:lang w:eastAsia="en-US"/>
        </w:rPr>
        <w:t>epublic Act</w:t>
      </w:r>
      <w:r w:rsidR="0054331D" w:rsidRPr="00FA62B7">
        <w:rPr>
          <w:rFonts w:eastAsiaTheme="minorHAnsi" w:cs="Arial"/>
          <w:lang w:eastAsia="en-US"/>
        </w:rPr>
        <w:t xml:space="preserve"> 10121)</w:t>
      </w:r>
    </w:p>
    <w:p w:rsidR="00A31EF9" w:rsidRPr="00FA62B7" w:rsidRDefault="00A31EF9" w:rsidP="00475AB6">
      <w:pPr>
        <w:pStyle w:val="AllensHeading3"/>
        <w:numPr>
          <w:ilvl w:val="0"/>
          <w:numId w:val="0"/>
        </w:numPr>
        <w:ind w:left="1418" w:hanging="709"/>
        <w:jc w:val="both"/>
        <w:rPr>
          <w:rFonts w:cs="Arial"/>
          <w:b/>
        </w:rPr>
      </w:pPr>
      <w:r w:rsidRPr="00FA62B7">
        <w:rPr>
          <w:rFonts w:cs="Arial"/>
          <w:b/>
        </w:rPr>
        <w:t>Presidential Decrees</w:t>
      </w:r>
    </w:p>
    <w:p w:rsidR="000F6A4C" w:rsidRDefault="006A113A" w:rsidP="00FA62B7">
      <w:pPr>
        <w:pStyle w:val="Bullet1"/>
        <w:ind w:left="1418"/>
        <w:jc w:val="both"/>
        <w:rPr>
          <w:rFonts w:cs="Arial"/>
        </w:rPr>
      </w:pPr>
      <w:hyperlink r:id="rId39" w:history="1">
        <w:r w:rsidR="000F6A4C" w:rsidRPr="004D534F">
          <w:rPr>
            <w:rStyle w:val="Hyperlink"/>
            <w:rFonts w:cs="Arial"/>
            <w:i/>
          </w:rPr>
          <w:t>Property Registration Decree</w:t>
        </w:r>
      </w:hyperlink>
      <w:r w:rsidR="000F6A4C" w:rsidRPr="00FA62B7">
        <w:rPr>
          <w:rFonts w:cs="Arial"/>
          <w:i/>
        </w:rPr>
        <w:t xml:space="preserve"> </w:t>
      </w:r>
      <w:r w:rsidR="00FA62B7" w:rsidRPr="00FA62B7">
        <w:rPr>
          <w:rFonts w:cs="Arial"/>
        </w:rPr>
        <w:t>(Presidential Decree 1529)</w:t>
      </w:r>
      <w:r w:rsidR="000003A0">
        <w:rPr>
          <w:rFonts w:cs="Arial"/>
        </w:rPr>
        <w:t xml:space="preserve"> (</w:t>
      </w:r>
      <w:r w:rsidR="000003A0" w:rsidRPr="000003A0">
        <w:rPr>
          <w:rFonts w:cs="Arial"/>
          <w:b/>
          <w:i/>
        </w:rPr>
        <w:t>PRD 1529</w:t>
      </w:r>
      <w:r w:rsidR="000003A0">
        <w:rPr>
          <w:rFonts w:cs="Arial"/>
        </w:rPr>
        <w:t>)</w:t>
      </w:r>
    </w:p>
    <w:p w:rsidR="004A3F7F" w:rsidRPr="00A10F82" w:rsidRDefault="00A10F82" w:rsidP="00A10F82">
      <w:pPr>
        <w:pStyle w:val="AllensHeading3"/>
        <w:rPr>
          <w:b/>
        </w:rPr>
      </w:pPr>
      <w:r w:rsidRPr="00A10F82">
        <w:rPr>
          <w:b/>
        </w:rPr>
        <w:t>What types of tenure exist?</w:t>
      </w:r>
      <w:r w:rsidRPr="00A10F82">
        <w:rPr>
          <w:b/>
          <w:vertAlign w:val="superscript"/>
          <w:lang w:val="en"/>
        </w:rPr>
        <w:footnoteReference w:id="32"/>
      </w:r>
    </w:p>
    <w:tbl>
      <w:tblPr>
        <w:tblStyle w:val="TableGrid1"/>
        <w:tblW w:w="9072" w:type="dxa"/>
        <w:tblInd w:w="817" w:type="dxa"/>
        <w:tblLook w:val="04A0" w:firstRow="1" w:lastRow="0" w:firstColumn="1" w:lastColumn="0" w:noHBand="0" w:noVBand="1"/>
      </w:tblPr>
      <w:tblGrid>
        <w:gridCol w:w="3085"/>
        <w:gridCol w:w="3130"/>
        <w:gridCol w:w="2857"/>
      </w:tblGrid>
      <w:tr w:rsidR="004A3F7F" w:rsidRPr="004A3F7F" w:rsidTr="00C16574">
        <w:trPr>
          <w:tblHeader/>
        </w:trPr>
        <w:tc>
          <w:tcPr>
            <w:tcW w:w="3085" w:type="dxa"/>
            <w:shd w:val="clear" w:color="auto" w:fill="EAF1DD" w:themeFill="accent3" w:themeFillTint="33"/>
          </w:tcPr>
          <w:p w:rsidR="004A3F7F" w:rsidRPr="004A3F7F" w:rsidRDefault="004A3F7F" w:rsidP="004A3F7F">
            <w:pPr>
              <w:rPr>
                <w:b/>
              </w:rPr>
            </w:pPr>
            <w:r w:rsidRPr="004A3F7F">
              <w:rPr>
                <w:b/>
              </w:rPr>
              <w:t>Tenure Type</w:t>
            </w:r>
          </w:p>
        </w:tc>
        <w:tc>
          <w:tcPr>
            <w:tcW w:w="3130" w:type="dxa"/>
            <w:shd w:val="clear" w:color="auto" w:fill="EAF1DD" w:themeFill="accent3" w:themeFillTint="33"/>
          </w:tcPr>
          <w:p w:rsidR="004A3F7F" w:rsidRPr="004A3F7F" w:rsidRDefault="00C67FE3" w:rsidP="004A3F7F">
            <w:pPr>
              <w:rPr>
                <w:b/>
              </w:rPr>
            </w:pPr>
            <w:r>
              <w:rPr>
                <w:b/>
              </w:rPr>
              <w:t>Legal Recognition</w:t>
            </w:r>
          </w:p>
        </w:tc>
        <w:tc>
          <w:tcPr>
            <w:tcW w:w="2857" w:type="dxa"/>
            <w:shd w:val="clear" w:color="auto" w:fill="EAF1DD" w:themeFill="accent3" w:themeFillTint="33"/>
          </w:tcPr>
          <w:p w:rsidR="004A3F7F" w:rsidRPr="004A3F7F" w:rsidRDefault="00C67FE3" w:rsidP="004A3F7F">
            <w:pPr>
              <w:rPr>
                <w:b/>
              </w:rPr>
            </w:pPr>
            <w:r>
              <w:rPr>
                <w:b/>
              </w:rPr>
              <w:t>Transferable</w:t>
            </w:r>
          </w:p>
        </w:tc>
      </w:tr>
      <w:tr w:rsidR="004A3F7F" w:rsidRPr="004A3F7F" w:rsidTr="00C16574">
        <w:tc>
          <w:tcPr>
            <w:tcW w:w="3085" w:type="dxa"/>
          </w:tcPr>
          <w:p w:rsidR="004A3F7F" w:rsidRPr="004A3F7F" w:rsidRDefault="004A3F7F" w:rsidP="004A3F7F">
            <w:r w:rsidRPr="004A3F7F">
              <w:t xml:space="preserve">Registered/titled individual property ownership in urban and rural areas </w:t>
            </w:r>
          </w:p>
        </w:tc>
        <w:tc>
          <w:tcPr>
            <w:tcW w:w="3130" w:type="dxa"/>
          </w:tcPr>
          <w:p w:rsidR="004A3F7F" w:rsidRPr="004A3F7F" w:rsidRDefault="000003A0" w:rsidP="00C67FE3">
            <w:r>
              <w:t xml:space="preserve">The </w:t>
            </w:r>
            <w:r w:rsidR="004A3F7F" w:rsidRPr="004A3F7F">
              <w:t>Civil Code; PRD 1529; CA 141; CA 22</w:t>
            </w:r>
            <w:r w:rsidR="003F53B4">
              <w:t xml:space="preserve">59; </w:t>
            </w:r>
            <w:r w:rsidR="00C67FE3">
              <w:t>CARPER</w:t>
            </w:r>
            <w:r w:rsidR="003F53B4">
              <w:t xml:space="preserve"> and RFP Act</w:t>
            </w:r>
          </w:p>
        </w:tc>
        <w:tc>
          <w:tcPr>
            <w:tcW w:w="2857" w:type="dxa"/>
          </w:tcPr>
          <w:p w:rsidR="004A3F7F" w:rsidRPr="004A3F7F" w:rsidRDefault="004A3F7F" w:rsidP="004A3F7F">
            <w:r w:rsidRPr="004A3F7F">
              <w:t xml:space="preserve">Yes. Transferable with no restriction for full freehold. Delayed freehold titles have restriction on transfer and mortgages ranging from 5 to 25 years. </w:t>
            </w:r>
          </w:p>
        </w:tc>
      </w:tr>
      <w:tr w:rsidR="004A3F7F" w:rsidRPr="004A3F7F" w:rsidTr="00C16574">
        <w:tc>
          <w:tcPr>
            <w:tcW w:w="3085" w:type="dxa"/>
          </w:tcPr>
          <w:p w:rsidR="004A3F7F" w:rsidRPr="004A3F7F" w:rsidRDefault="004A3F7F" w:rsidP="004A3F7F">
            <w:r w:rsidRPr="004A3F7F">
              <w:t>Registered/titled private ownership of groups/community</w:t>
            </w:r>
          </w:p>
        </w:tc>
        <w:tc>
          <w:tcPr>
            <w:tcW w:w="3130" w:type="dxa"/>
          </w:tcPr>
          <w:p w:rsidR="004A3F7F" w:rsidRPr="004A3F7F" w:rsidRDefault="004A3F7F" w:rsidP="00C67FE3">
            <w:r w:rsidRPr="004A3F7F">
              <w:t xml:space="preserve">Civil Code; PRD 1529; </w:t>
            </w:r>
            <w:r w:rsidR="00C67FE3">
              <w:t>CARPER</w:t>
            </w:r>
            <w:r w:rsidRPr="004A3F7F">
              <w:t>; the P</w:t>
            </w:r>
            <w:r w:rsidR="000003A0">
              <w:t xml:space="preserve">hilippine Condominium Act </w:t>
            </w:r>
            <w:r w:rsidR="003F53B4">
              <w:t xml:space="preserve">of </w:t>
            </w:r>
            <w:r w:rsidR="000003A0">
              <w:t>1966</w:t>
            </w:r>
            <w:r w:rsidRPr="004A3F7F">
              <w:t xml:space="preserve"> and IPRA</w:t>
            </w:r>
          </w:p>
        </w:tc>
        <w:tc>
          <w:tcPr>
            <w:tcW w:w="2857" w:type="dxa"/>
          </w:tcPr>
          <w:p w:rsidR="004A3F7F" w:rsidRPr="004A3F7F" w:rsidRDefault="004A3F7F" w:rsidP="004A3F7F">
            <w:r w:rsidRPr="004A3F7F">
              <w:t>Yes. Subject to certain restrictions on common areas.</w:t>
            </w:r>
          </w:p>
        </w:tc>
      </w:tr>
      <w:tr w:rsidR="004A3F7F" w:rsidRPr="004A3F7F" w:rsidTr="00C16574">
        <w:tc>
          <w:tcPr>
            <w:tcW w:w="3085" w:type="dxa"/>
          </w:tcPr>
          <w:p w:rsidR="004A3F7F" w:rsidRPr="004A3F7F" w:rsidRDefault="004A3F7F" w:rsidP="004A3F7F">
            <w:r w:rsidRPr="004A3F7F">
              <w:lastRenderedPageBreak/>
              <w:t>Unregistered private ownership</w:t>
            </w:r>
          </w:p>
        </w:tc>
        <w:tc>
          <w:tcPr>
            <w:tcW w:w="3130" w:type="dxa"/>
          </w:tcPr>
          <w:p w:rsidR="004A3F7F" w:rsidRPr="004A3F7F" w:rsidRDefault="004A3F7F" w:rsidP="0042050D">
            <w:r w:rsidRPr="004A3F7F">
              <w:t>Civil Code</w:t>
            </w:r>
            <w:r w:rsidRPr="000003A0">
              <w:t xml:space="preserve">; CA 141; </w:t>
            </w:r>
            <w:r w:rsidR="000003A0" w:rsidRPr="000003A0">
              <w:t>RFP Act</w:t>
            </w:r>
            <w:r w:rsidRPr="000003A0">
              <w:t xml:space="preserve"> </w:t>
            </w:r>
            <w:r w:rsidR="000003A0" w:rsidRPr="000003A0">
              <w:t>and PRD 1529</w:t>
            </w:r>
          </w:p>
        </w:tc>
        <w:tc>
          <w:tcPr>
            <w:tcW w:w="2857" w:type="dxa"/>
          </w:tcPr>
          <w:p w:rsidR="004A3F7F" w:rsidRPr="004A3F7F" w:rsidRDefault="004A3F7F" w:rsidP="004A3F7F">
            <w:r w:rsidRPr="004A3F7F">
              <w:t xml:space="preserve">Possible, further disposition of any land titled under special patents requires Congressional approval for those named under national government agencies and their respective local councils. </w:t>
            </w:r>
          </w:p>
        </w:tc>
      </w:tr>
      <w:tr w:rsidR="004A3F7F" w:rsidRPr="004A3F7F" w:rsidTr="00C16574">
        <w:tc>
          <w:tcPr>
            <w:tcW w:w="3085" w:type="dxa"/>
          </w:tcPr>
          <w:p w:rsidR="004A3F7F" w:rsidRPr="004A3F7F" w:rsidRDefault="004A3F7F" w:rsidP="004A3F7F">
            <w:r w:rsidRPr="004A3F7F">
              <w:t>Leases and rentals in Private Lands</w:t>
            </w:r>
          </w:p>
        </w:tc>
        <w:tc>
          <w:tcPr>
            <w:tcW w:w="3130" w:type="dxa"/>
          </w:tcPr>
          <w:p w:rsidR="004A3F7F" w:rsidRPr="004A3F7F" w:rsidRDefault="004A3F7F" w:rsidP="004A3F7F">
            <w:r w:rsidRPr="004A3F7F">
              <w:t>Civil Code</w:t>
            </w:r>
          </w:p>
        </w:tc>
        <w:tc>
          <w:tcPr>
            <w:tcW w:w="2857" w:type="dxa"/>
          </w:tcPr>
          <w:p w:rsidR="004A3F7F" w:rsidRPr="004A3F7F" w:rsidRDefault="004A3F7F" w:rsidP="004A3F7F">
            <w:r w:rsidRPr="004A3F7F">
              <w:t xml:space="preserve">Yes, subject to the lease/rental agreement. </w:t>
            </w:r>
          </w:p>
        </w:tc>
      </w:tr>
      <w:tr w:rsidR="004A3F7F" w:rsidRPr="004A3F7F" w:rsidTr="00C16574">
        <w:tc>
          <w:tcPr>
            <w:tcW w:w="3085" w:type="dxa"/>
          </w:tcPr>
          <w:p w:rsidR="004A3F7F" w:rsidRPr="004A3F7F" w:rsidRDefault="004A3F7F" w:rsidP="004A3F7F">
            <w:r w:rsidRPr="004A3F7F">
              <w:t>Leases and Rental in Public Lands</w:t>
            </w:r>
          </w:p>
        </w:tc>
        <w:tc>
          <w:tcPr>
            <w:tcW w:w="3130" w:type="dxa"/>
          </w:tcPr>
          <w:p w:rsidR="004A3F7F" w:rsidRPr="004A3F7F" w:rsidRDefault="004A3F7F" w:rsidP="004A3F7F">
            <w:r w:rsidRPr="004A3F7F">
              <w:t xml:space="preserve">Civil Code </w:t>
            </w:r>
          </w:p>
        </w:tc>
        <w:tc>
          <w:tcPr>
            <w:tcW w:w="2857" w:type="dxa"/>
          </w:tcPr>
          <w:p w:rsidR="004A3F7F" w:rsidRPr="004A3F7F" w:rsidRDefault="004A3F7F" w:rsidP="004A3F7F">
            <w:r w:rsidRPr="004A3F7F">
              <w:t xml:space="preserve">Possible. Subject to the specific lease or rental agreement. </w:t>
            </w:r>
          </w:p>
        </w:tc>
      </w:tr>
      <w:tr w:rsidR="004A3F7F" w:rsidRPr="004A3F7F" w:rsidTr="00C16574">
        <w:tc>
          <w:tcPr>
            <w:tcW w:w="3085" w:type="dxa"/>
          </w:tcPr>
          <w:p w:rsidR="004A3F7F" w:rsidRPr="004A3F7F" w:rsidRDefault="004A3F7F" w:rsidP="00CA273C">
            <w:r w:rsidRPr="004A3F7F">
              <w:t xml:space="preserve">Occupation </w:t>
            </w:r>
            <w:r w:rsidR="00CA273C">
              <w:t xml:space="preserve">of </w:t>
            </w:r>
            <w:r w:rsidRPr="004A3F7F">
              <w:t>unclassified public lands</w:t>
            </w:r>
          </w:p>
        </w:tc>
        <w:tc>
          <w:tcPr>
            <w:tcW w:w="3130" w:type="dxa"/>
          </w:tcPr>
          <w:p w:rsidR="004A3F7F" w:rsidRPr="004A3F7F" w:rsidRDefault="004A3F7F" w:rsidP="004A3F7F">
            <w:r w:rsidRPr="004A3F7F">
              <w:t xml:space="preserve">None until the land is classified as </w:t>
            </w:r>
            <w:proofErr w:type="gramStart"/>
            <w:r w:rsidRPr="004A3F7F">
              <w:t>either alienated and</w:t>
            </w:r>
            <w:proofErr w:type="gramEnd"/>
            <w:r w:rsidRPr="004A3F7F">
              <w:t xml:space="preserve"> disposable or as forestland and the appropriate tenure instrument is issued.</w:t>
            </w:r>
          </w:p>
        </w:tc>
        <w:tc>
          <w:tcPr>
            <w:tcW w:w="2857" w:type="dxa"/>
          </w:tcPr>
          <w:p w:rsidR="004A3F7F" w:rsidRPr="004A3F7F" w:rsidRDefault="004A3F7F" w:rsidP="004A3F7F">
            <w:r w:rsidRPr="004A3F7F">
              <w:t>No, unless the land is classified and the te</w:t>
            </w:r>
            <w:r w:rsidR="00C215DC">
              <w:t xml:space="preserve">nure instrument is formalised. </w:t>
            </w:r>
          </w:p>
        </w:tc>
      </w:tr>
      <w:tr w:rsidR="004A3F7F" w:rsidRPr="004A3F7F" w:rsidTr="00C16574">
        <w:tc>
          <w:tcPr>
            <w:tcW w:w="3085" w:type="dxa"/>
          </w:tcPr>
          <w:p w:rsidR="004A3F7F" w:rsidRPr="004A3F7F" w:rsidRDefault="004A3F7F" w:rsidP="00C51F7C">
            <w:r w:rsidRPr="004A3F7F">
              <w:t xml:space="preserve">Informal occupation and use </w:t>
            </w:r>
            <w:r w:rsidR="00C51F7C">
              <w:t xml:space="preserve">of </w:t>
            </w:r>
            <w:r w:rsidRPr="004A3F7F">
              <w:t>privately owned and government lands (informal settlement)</w:t>
            </w:r>
          </w:p>
        </w:tc>
        <w:tc>
          <w:tcPr>
            <w:tcW w:w="3130" w:type="dxa"/>
          </w:tcPr>
          <w:p w:rsidR="004A3F7F" w:rsidRPr="004A3F7F" w:rsidRDefault="004A3F7F" w:rsidP="00CA273C">
            <w:r w:rsidRPr="004A3F7F">
              <w:t xml:space="preserve">No unless it can be formalised pursuant to certain </w:t>
            </w:r>
            <w:r w:rsidR="00CA273C">
              <w:t>UDHA provisions</w:t>
            </w:r>
            <w:r w:rsidRPr="004A3F7F">
              <w:t>.</w:t>
            </w:r>
          </w:p>
        </w:tc>
        <w:tc>
          <w:tcPr>
            <w:tcW w:w="2857" w:type="dxa"/>
          </w:tcPr>
          <w:p w:rsidR="004A3F7F" w:rsidRPr="004A3F7F" w:rsidRDefault="004A3F7F" w:rsidP="004A3F7F">
            <w:r w:rsidRPr="004A3F7F">
              <w:t>No.</w:t>
            </w:r>
          </w:p>
        </w:tc>
      </w:tr>
    </w:tbl>
    <w:p w:rsidR="004A3F7F" w:rsidRPr="004A3F7F" w:rsidRDefault="004A3F7F" w:rsidP="004A3F7F">
      <w:pPr>
        <w:numPr>
          <w:ilvl w:val="2"/>
          <w:numId w:val="1"/>
        </w:numPr>
        <w:rPr>
          <w:b/>
          <w:lang w:val="en"/>
        </w:rPr>
      </w:pPr>
      <w:r w:rsidRPr="004A3F7F">
        <w:rPr>
          <w:b/>
          <w:lang w:val="en"/>
        </w:rPr>
        <w:t>Which, if any, of these types of tenure provide a high degree of security of tenure?</w:t>
      </w:r>
    </w:p>
    <w:p w:rsidR="004A3F7F" w:rsidRPr="004A3F7F" w:rsidRDefault="004A3F7F" w:rsidP="004A3F7F">
      <w:pPr>
        <w:ind w:left="1418"/>
        <w:rPr>
          <w:lang w:val="en"/>
        </w:rPr>
      </w:pPr>
      <w:r w:rsidRPr="004A3F7F">
        <w:rPr>
          <w:lang w:val="en"/>
        </w:rPr>
        <w:t xml:space="preserve">The highest degree of security of tenure is </w:t>
      </w:r>
      <w:r w:rsidRPr="004A3F7F">
        <w:t xml:space="preserve">registered/titled individual property ownership </w:t>
      </w:r>
      <w:r w:rsidR="006D5886">
        <w:t xml:space="preserve">with </w:t>
      </w:r>
      <w:r w:rsidRPr="004A3F7F">
        <w:t>possession of</w:t>
      </w:r>
      <w:r w:rsidRPr="004A3F7F">
        <w:rPr>
          <w:lang w:val="en"/>
        </w:rPr>
        <w:t xml:space="preserve"> </w:t>
      </w:r>
      <w:r w:rsidR="00AB6C38">
        <w:rPr>
          <w:lang w:val="en"/>
        </w:rPr>
        <w:t xml:space="preserve">a </w:t>
      </w:r>
      <w:r w:rsidR="006D5886">
        <w:rPr>
          <w:lang w:val="en"/>
        </w:rPr>
        <w:t>'</w:t>
      </w:r>
      <w:r w:rsidRPr="004A3F7F">
        <w:rPr>
          <w:lang w:val="en"/>
        </w:rPr>
        <w:t>Certificate of Title</w:t>
      </w:r>
      <w:r w:rsidR="006D5886">
        <w:rPr>
          <w:lang w:val="en"/>
        </w:rPr>
        <w:t>'</w:t>
      </w:r>
      <w:r w:rsidRPr="004A3F7F">
        <w:rPr>
          <w:lang w:val="en"/>
        </w:rPr>
        <w:t xml:space="preserve">, which proves ownership over said piece of land and is recorded in the </w:t>
      </w:r>
      <w:r w:rsidR="006D5886">
        <w:rPr>
          <w:lang w:val="en"/>
        </w:rPr>
        <w:t>'</w:t>
      </w:r>
      <w:r w:rsidRPr="004A3F7F">
        <w:rPr>
          <w:lang w:val="en"/>
        </w:rPr>
        <w:t>Register of Deeds</w:t>
      </w:r>
      <w:r w:rsidR="006D5886">
        <w:rPr>
          <w:lang w:val="en"/>
        </w:rPr>
        <w:t>'</w:t>
      </w:r>
      <w:r w:rsidRPr="004A3F7F">
        <w:rPr>
          <w:lang w:val="en"/>
        </w:rPr>
        <w:t xml:space="preserve"> in accordance with </w:t>
      </w:r>
      <w:r w:rsidR="003F53B4">
        <w:rPr>
          <w:lang w:val="en"/>
        </w:rPr>
        <w:t>PRD 1529</w:t>
      </w:r>
      <w:r w:rsidRPr="004A3F7F">
        <w:rPr>
          <w:lang w:val="en"/>
        </w:rPr>
        <w:t>.</w:t>
      </w:r>
      <w:bookmarkStart w:id="25" w:name="_Ref504462767"/>
      <w:r w:rsidRPr="004A3F7F">
        <w:rPr>
          <w:vertAlign w:val="superscript"/>
          <w:lang w:val="en"/>
        </w:rPr>
        <w:footnoteReference w:id="33"/>
      </w:r>
      <w:bookmarkEnd w:id="25"/>
      <w:r w:rsidRPr="004A3F7F">
        <w:rPr>
          <w:lang w:val="en"/>
        </w:rPr>
        <w:t xml:space="preserve"> </w:t>
      </w:r>
    </w:p>
    <w:p w:rsidR="004A3F7F" w:rsidRPr="004A3F7F" w:rsidRDefault="004A3F7F" w:rsidP="004A3F7F">
      <w:pPr>
        <w:ind w:left="1418"/>
        <w:rPr>
          <w:lang w:val="en"/>
        </w:rPr>
      </w:pPr>
      <w:r w:rsidRPr="004A3F7F">
        <w:rPr>
          <w:lang w:val="en"/>
        </w:rPr>
        <w:t>Tenure instruments such as rentals, leases, permits and contracts that are issued by national agencies and LGUs over alienable and disposable lands of the public domain tend to have secure tenure.</w:t>
      </w:r>
      <w:r w:rsidRPr="004A3F7F">
        <w:rPr>
          <w:vertAlign w:val="superscript"/>
          <w:lang w:val="en"/>
        </w:rPr>
        <w:footnoteReference w:id="34"/>
      </w:r>
      <w:r w:rsidRPr="004A3F7F">
        <w:rPr>
          <w:lang w:val="en"/>
        </w:rPr>
        <w:t xml:space="preserve"> </w:t>
      </w:r>
    </w:p>
    <w:p w:rsidR="004A3F7F" w:rsidRPr="004A3F7F" w:rsidRDefault="004A3F7F" w:rsidP="004A3F7F">
      <w:pPr>
        <w:ind w:left="1418"/>
      </w:pPr>
      <w:r w:rsidRPr="004A3F7F">
        <w:rPr>
          <w:lang w:val="en"/>
        </w:rPr>
        <w:t>Holders of informal tenure tend to have insecurity of tenure. The only protection of informal tenure rights is set o</w:t>
      </w:r>
      <w:r w:rsidR="000A5AC0">
        <w:rPr>
          <w:lang w:val="en"/>
        </w:rPr>
        <w:t xml:space="preserve">ut in </w:t>
      </w:r>
      <w:r w:rsidR="00B05DFC">
        <w:rPr>
          <w:lang w:val="en"/>
        </w:rPr>
        <w:t xml:space="preserve">the </w:t>
      </w:r>
      <w:r w:rsidR="00B05DFC" w:rsidRPr="00D76DEE">
        <w:rPr>
          <w:bCs/>
          <w:i/>
          <w:iCs/>
        </w:rPr>
        <w:t xml:space="preserve">Anti-Squatting Law Repeal Act of 1997 </w:t>
      </w:r>
      <w:r w:rsidR="00B05DFC" w:rsidRPr="00F423AF">
        <w:rPr>
          <w:bCs/>
          <w:iCs/>
        </w:rPr>
        <w:t>(Republic Act 8368)</w:t>
      </w:r>
      <w:r w:rsidR="00B05DFC">
        <w:rPr>
          <w:bCs/>
          <w:iCs/>
        </w:rPr>
        <w:t xml:space="preserve"> </w:t>
      </w:r>
      <w:r w:rsidR="000A5AC0">
        <w:rPr>
          <w:lang w:val="en"/>
        </w:rPr>
        <w:t xml:space="preserve">which </w:t>
      </w:r>
      <w:proofErr w:type="spellStart"/>
      <w:r w:rsidR="000A5AC0">
        <w:rPr>
          <w:lang w:val="en"/>
        </w:rPr>
        <w:t>decriminalis</w:t>
      </w:r>
      <w:r w:rsidRPr="004A3F7F">
        <w:rPr>
          <w:lang w:val="en"/>
        </w:rPr>
        <w:t>es</w:t>
      </w:r>
      <w:proofErr w:type="spellEnd"/>
      <w:r w:rsidRPr="004A3F7F">
        <w:rPr>
          <w:lang w:val="en"/>
        </w:rPr>
        <w:t xml:space="preserve"> </w:t>
      </w:r>
      <w:r w:rsidR="00C67FE3">
        <w:rPr>
          <w:lang w:val="en"/>
        </w:rPr>
        <w:t>informal settlement</w:t>
      </w:r>
      <w:r w:rsidRPr="004A3F7F">
        <w:rPr>
          <w:lang w:val="en"/>
        </w:rPr>
        <w:t xml:space="preserve"> (</w:t>
      </w:r>
      <w:r w:rsidRPr="004A3F7F">
        <w:t>discu</w:t>
      </w:r>
      <w:r w:rsidR="003F46E9">
        <w:t>ssed furth</w:t>
      </w:r>
      <w:r w:rsidR="003F46E9" w:rsidRPr="002C6558">
        <w:t xml:space="preserve">er in </w:t>
      </w:r>
      <w:hyperlink w:anchor="Informal" w:history="1">
        <w:r w:rsidR="003F46E9" w:rsidRPr="002C6558">
          <w:rPr>
            <w:rStyle w:val="Hyperlink"/>
            <w:color w:val="auto"/>
            <w:u w:val="none"/>
          </w:rPr>
          <w:t>section 2.4</w:t>
        </w:r>
      </w:hyperlink>
      <w:r w:rsidRPr="002C6558">
        <w:t>).</w:t>
      </w:r>
    </w:p>
    <w:p w:rsidR="004A3F7F" w:rsidRPr="004A3F7F" w:rsidRDefault="004A3F7F" w:rsidP="004A3F7F">
      <w:pPr>
        <w:numPr>
          <w:ilvl w:val="2"/>
          <w:numId w:val="1"/>
        </w:numPr>
        <w:rPr>
          <w:b/>
        </w:rPr>
      </w:pPr>
      <w:bookmarkStart w:id="26" w:name="_Ref472535422"/>
      <w:r w:rsidRPr="004A3F7F">
        <w:rPr>
          <w:b/>
        </w:rPr>
        <w:t>How does tenure differ between urban and rural areas?</w:t>
      </w:r>
    </w:p>
    <w:p w:rsidR="004A3F7F" w:rsidRPr="004A3F7F" w:rsidRDefault="004A3F7F" w:rsidP="004A3F7F">
      <w:pPr>
        <w:ind w:left="1418"/>
      </w:pPr>
      <w:r w:rsidRPr="004A3F7F">
        <w:t>In the Philippines, the governance of tenure is focused mainly on the governance and management of landscapes where people and communities are considered part of that landscape.</w:t>
      </w:r>
      <w:r w:rsidRPr="004A3F7F">
        <w:rPr>
          <w:vertAlign w:val="superscript"/>
        </w:rPr>
        <w:footnoteReference w:id="35"/>
      </w:r>
      <w:r w:rsidRPr="004A3F7F">
        <w:t xml:space="preserve"> Little data is generated about security of tenure in areas that are less densely populated. As such, laws that address tenure issues (such as UDHA</w:t>
      </w:r>
      <w:r w:rsidRPr="004A3F7F">
        <w:rPr>
          <w:i/>
        </w:rPr>
        <w:t xml:space="preserve">) </w:t>
      </w:r>
      <w:r w:rsidRPr="004A3F7F">
        <w:t xml:space="preserve">seem to </w:t>
      </w:r>
      <w:r w:rsidRPr="004A3F7F">
        <w:lastRenderedPageBreak/>
        <w:t xml:space="preserve">favour urban areas more than rural areas. Tenure issues in rural areas are considered to be covered by the sector based tenure reforms discussed below. </w:t>
      </w:r>
      <w:r w:rsidRPr="004A3F7F">
        <w:rPr>
          <w:vertAlign w:val="superscript"/>
        </w:rPr>
        <w:footnoteReference w:id="36"/>
      </w:r>
    </w:p>
    <w:p w:rsidR="004A3F7F" w:rsidRPr="009059BF" w:rsidRDefault="004A3F7F" w:rsidP="004A3F7F">
      <w:pPr>
        <w:numPr>
          <w:ilvl w:val="3"/>
          <w:numId w:val="1"/>
        </w:numPr>
        <w:rPr>
          <w:b/>
          <w:lang w:val="en-US"/>
        </w:rPr>
      </w:pPr>
      <w:r w:rsidRPr="009059BF">
        <w:rPr>
          <w:b/>
          <w:lang w:val="en-US"/>
        </w:rPr>
        <w:t>Urban areas</w:t>
      </w:r>
    </w:p>
    <w:p w:rsidR="004A3F7F" w:rsidRPr="004A3F7F" w:rsidRDefault="004A3F7F" w:rsidP="004A3F7F">
      <w:pPr>
        <w:ind w:left="2126"/>
        <w:jc w:val="both"/>
      </w:pPr>
      <w:r w:rsidRPr="004A3F7F">
        <w:t xml:space="preserve">In 1992, UDHA was passed to address the huge backlog in providing for land security and housing for the poor in the rapidly growing urban areas. </w:t>
      </w:r>
      <w:r w:rsidR="009E1348">
        <w:t xml:space="preserve">UDHA </w:t>
      </w:r>
      <w:r w:rsidR="004F213B">
        <w:t>mandates local governments to conduct land inventory, register informal settlers and allocate land for secure tenure.</w:t>
      </w:r>
      <w:r w:rsidR="004F213B">
        <w:rPr>
          <w:rStyle w:val="FootnoteReference"/>
        </w:rPr>
        <w:footnoteReference w:id="37"/>
      </w:r>
      <w:r w:rsidR="004F213B">
        <w:t xml:space="preserve"> It also induces housing developers to provide land or funds for social housing.</w:t>
      </w:r>
      <w:r w:rsidR="004F213B">
        <w:rPr>
          <w:rStyle w:val="FootnoteReference"/>
        </w:rPr>
        <w:footnoteReference w:id="38"/>
      </w:r>
      <w:r w:rsidR="004F213B">
        <w:t xml:space="preserve"> </w:t>
      </w:r>
      <w:r w:rsidRPr="004A3F7F">
        <w:t xml:space="preserve">Bodies responsible for implementation of the programs under UDHA include both government and non-government entities. The non-government entities comprise mainly </w:t>
      </w:r>
      <w:r w:rsidR="00FB0225">
        <w:t>d</w:t>
      </w:r>
      <w:r w:rsidRPr="004A3F7F">
        <w:t>evelopers, professionals and project beneficiaries, while the government entities are primarily the country’s five housing agencies:</w:t>
      </w:r>
    </w:p>
    <w:p w:rsidR="004A3F7F" w:rsidRPr="004A3F7F" w:rsidRDefault="004A3F7F" w:rsidP="0016278E">
      <w:pPr>
        <w:pStyle w:val="Bullet2"/>
        <w:tabs>
          <w:tab w:val="clear" w:pos="1418"/>
        </w:tabs>
        <w:ind w:left="2835"/>
      </w:pPr>
      <w:r w:rsidRPr="004A3F7F">
        <w:t xml:space="preserve">the National Housing Authority; </w:t>
      </w:r>
    </w:p>
    <w:p w:rsidR="004A3F7F" w:rsidRPr="004A3F7F" w:rsidRDefault="004A3F7F" w:rsidP="0016278E">
      <w:pPr>
        <w:pStyle w:val="Bullet2"/>
        <w:tabs>
          <w:tab w:val="clear" w:pos="1418"/>
        </w:tabs>
        <w:ind w:left="2835"/>
      </w:pPr>
      <w:r w:rsidRPr="004A3F7F">
        <w:t>the National Home Mortgage Finance Corporation;</w:t>
      </w:r>
    </w:p>
    <w:p w:rsidR="004A3F7F" w:rsidRPr="004A3F7F" w:rsidRDefault="004A3F7F" w:rsidP="0016278E">
      <w:pPr>
        <w:pStyle w:val="Bullet2"/>
        <w:tabs>
          <w:tab w:val="clear" w:pos="1418"/>
        </w:tabs>
        <w:ind w:left="2835"/>
      </w:pPr>
      <w:r w:rsidRPr="004A3F7F">
        <w:t xml:space="preserve">the Home Insurance Guaranty Corporation; </w:t>
      </w:r>
    </w:p>
    <w:p w:rsidR="004A3F7F" w:rsidRPr="004A3F7F" w:rsidRDefault="004A3F7F" w:rsidP="0016278E">
      <w:pPr>
        <w:pStyle w:val="Bullet2"/>
        <w:tabs>
          <w:tab w:val="clear" w:pos="1418"/>
        </w:tabs>
        <w:ind w:left="2835"/>
      </w:pPr>
      <w:r w:rsidRPr="004A3F7F">
        <w:t xml:space="preserve">the Housing and Land Use Regulatory Board; and </w:t>
      </w:r>
    </w:p>
    <w:p w:rsidR="004A3F7F" w:rsidRPr="004A3F7F" w:rsidRDefault="004A3F7F" w:rsidP="0016278E">
      <w:pPr>
        <w:pStyle w:val="Bullet2"/>
        <w:tabs>
          <w:tab w:val="clear" w:pos="1418"/>
        </w:tabs>
        <w:ind w:left="2835"/>
      </w:pPr>
      <w:proofErr w:type="gramStart"/>
      <w:r w:rsidRPr="004A3F7F">
        <w:t>the</w:t>
      </w:r>
      <w:proofErr w:type="gramEnd"/>
      <w:r w:rsidRPr="004A3F7F">
        <w:t xml:space="preserve"> Housing and Urban Development Coordinating Council (an umbrella organisation).</w:t>
      </w:r>
      <w:r w:rsidRPr="00A92D07">
        <w:rPr>
          <w:vertAlign w:val="superscript"/>
        </w:rPr>
        <w:footnoteReference w:id="39"/>
      </w:r>
    </w:p>
    <w:p w:rsidR="004A3F7F" w:rsidRPr="002C7F36" w:rsidRDefault="004A3F7F" w:rsidP="004A3F7F">
      <w:pPr>
        <w:ind w:left="2126"/>
        <w:rPr>
          <w:b/>
        </w:rPr>
      </w:pPr>
      <w:r w:rsidRPr="004A3F7F">
        <w:t>Existing legal and institutional framework for tenure in urban areas does not recognise rights of informal settlers, which compounds</w:t>
      </w:r>
      <w:r w:rsidR="00FB6FDC">
        <w:t xml:space="preserve"> some of the most prevalent</w:t>
      </w:r>
      <w:r w:rsidRPr="004A3F7F">
        <w:t xml:space="preserve"> tenure issues. At 2013, informal settlers constituted 15 per cent of the country's urban population.</w:t>
      </w:r>
      <w:r w:rsidRPr="004A3F7F">
        <w:rPr>
          <w:vertAlign w:val="superscript"/>
        </w:rPr>
        <w:footnoteReference w:id="40"/>
      </w:r>
      <w:r w:rsidRPr="004A3F7F">
        <w:t xml:space="preserve"> </w:t>
      </w:r>
      <w:r w:rsidRPr="002C7F36">
        <w:t>Alternate ways of formalisation</w:t>
      </w:r>
      <w:r w:rsidR="00FB6FDC">
        <w:t>, which</w:t>
      </w:r>
      <w:r w:rsidRPr="002C7F36">
        <w:t xml:space="preserve"> include relocation and low cost housing programs in identified areas in the urban centres</w:t>
      </w:r>
      <w:r w:rsidR="00FB6FDC">
        <w:t xml:space="preserve"> and are implemented by some of the bodies listed above, often involve a slow and complex process</w:t>
      </w:r>
      <w:r w:rsidRPr="002C7F36">
        <w:t>.</w:t>
      </w:r>
      <w:r w:rsidRPr="002C7F36">
        <w:rPr>
          <w:vertAlign w:val="superscript"/>
        </w:rPr>
        <w:footnoteReference w:id="41"/>
      </w:r>
      <w:r w:rsidRPr="002C7F36">
        <w:t xml:space="preserve"> </w:t>
      </w:r>
    </w:p>
    <w:p w:rsidR="0000277D" w:rsidRPr="002C7F36" w:rsidRDefault="0000277D" w:rsidP="0000277D">
      <w:pPr>
        <w:pStyle w:val="Bullet2"/>
        <w:numPr>
          <w:ilvl w:val="0"/>
          <w:numId w:val="0"/>
        </w:numPr>
        <w:ind w:left="2149"/>
      </w:pPr>
      <w:r w:rsidRPr="002C7F36">
        <w:t xml:space="preserve">In practice, changes in legal and institutional framework for tenure in urban areas </w:t>
      </w:r>
      <w:r w:rsidR="00FB6FDC">
        <w:t>are</w:t>
      </w:r>
      <w:r w:rsidRPr="002C7F36">
        <w:t xml:space="preserve"> largely driven by national infrastructure projects and investments by private entities.</w:t>
      </w:r>
      <w:r w:rsidR="002E1F17" w:rsidRPr="002C7F36">
        <w:rPr>
          <w:rStyle w:val="FootnoteReference"/>
        </w:rPr>
        <w:footnoteReference w:id="42"/>
      </w:r>
      <w:r w:rsidRPr="002C7F36">
        <w:t xml:space="preserve"> This has resulted in very little hu</w:t>
      </w:r>
      <w:r w:rsidR="00FB6FDC">
        <w:t>man-centred planning, with</w:t>
      </w:r>
      <w:r w:rsidRPr="002C7F36">
        <w:t xml:space="preserve"> </w:t>
      </w:r>
      <w:r w:rsidR="00FB6FDC">
        <w:t>the</w:t>
      </w:r>
      <w:r w:rsidRPr="002C7F36">
        <w:t xml:space="preserve"> uncontrolled growth and direction of urban development</w:t>
      </w:r>
      <w:r w:rsidR="00FB6FDC">
        <w:t xml:space="preserve"> a testament to this</w:t>
      </w:r>
      <w:r w:rsidRPr="002C7F36">
        <w:t>.</w:t>
      </w:r>
      <w:r w:rsidR="002E1F17" w:rsidRPr="002C7F36">
        <w:rPr>
          <w:rStyle w:val="FootnoteReference"/>
        </w:rPr>
        <w:footnoteReference w:id="43"/>
      </w:r>
      <w:r w:rsidRPr="002C7F36">
        <w:t xml:space="preserve"> </w:t>
      </w:r>
      <w:r w:rsidR="002E1F17" w:rsidRPr="002C7F36">
        <w:t>Further, such</w:t>
      </w:r>
      <w:r w:rsidRPr="002C7F36">
        <w:t xml:space="preserve"> development is often unsafe and in areas that have land use restrictions imposed by danger zones.</w:t>
      </w:r>
      <w:r w:rsidR="002C7F36" w:rsidRPr="002C7F36">
        <w:rPr>
          <w:rStyle w:val="FootnoteReference"/>
        </w:rPr>
        <w:footnoteReference w:id="44"/>
      </w:r>
      <w:r w:rsidRPr="002C7F36">
        <w:t xml:space="preserve"> While such land use restrictions are generally justified, they are rarely enforced and therefore do not achieve their </w:t>
      </w:r>
      <w:r w:rsidRPr="002C7F36">
        <w:lastRenderedPageBreak/>
        <w:t>objectives.</w:t>
      </w:r>
      <w:r w:rsidR="002C7F36" w:rsidRPr="002C7F36">
        <w:rPr>
          <w:rStyle w:val="FootnoteReference"/>
        </w:rPr>
        <w:footnoteReference w:id="45"/>
      </w:r>
      <w:r w:rsidRPr="002C7F36">
        <w:t xml:space="preserve"> </w:t>
      </w:r>
      <w:r w:rsidR="00FB6FDC">
        <w:t>Overall and in practice</w:t>
      </w:r>
      <w:r w:rsidR="002C7F36" w:rsidRPr="002C7F36">
        <w:t xml:space="preserve">, there is far less recognition of group </w:t>
      </w:r>
      <w:r w:rsidR="00FB6FDC">
        <w:t xml:space="preserve">tenure </w:t>
      </w:r>
      <w:r w:rsidR="002C7F36" w:rsidRPr="002C7F36">
        <w:t>rights in urban areas than in rural areas.</w:t>
      </w:r>
      <w:r w:rsidR="002C7F36" w:rsidRPr="002C7F36">
        <w:rPr>
          <w:rStyle w:val="FootnoteReference"/>
        </w:rPr>
        <w:footnoteReference w:id="46"/>
      </w:r>
      <w:r w:rsidR="002C7F36" w:rsidRPr="002C7F36">
        <w:t xml:space="preserve"> </w:t>
      </w:r>
    </w:p>
    <w:p w:rsidR="004A3F7F" w:rsidRPr="004A3F7F" w:rsidRDefault="004A3F7F" w:rsidP="004A3F7F">
      <w:pPr>
        <w:numPr>
          <w:ilvl w:val="3"/>
          <w:numId w:val="1"/>
        </w:numPr>
        <w:rPr>
          <w:b/>
          <w:lang w:val="en-US"/>
        </w:rPr>
      </w:pPr>
      <w:r w:rsidRPr="004A3F7F">
        <w:rPr>
          <w:b/>
          <w:lang w:val="en-US"/>
        </w:rPr>
        <w:t>Rural areas</w:t>
      </w:r>
    </w:p>
    <w:p w:rsidR="004A3F7F" w:rsidRPr="004A3F7F" w:rsidRDefault="004A3F7F" w:rsidP="004A3F7F">
      <w:pPr>
        <w:ind w:left="2126"/>
      </w:pPr>
      <w:r w:rsidRPr="004A3F7F">
        <w:t xml:space="preserve">In 1988, CARL, which forms the legal basis for the Comprehensive Agrarian </w:t>
      </w:r>
      <w:r w:rsidR="00E82DB7">
        <w:t xml:space="preserve">Reform </w:t>
      </w:r>
      <w:r w:rsidRPr="004A3F7F">
        <w:t>Program (</w:t>
      </w:r>
      <w:r w:rsidRPr="004A3F7F">
        <w:rPr>
          <w:b/>
          <w:i/>
        </w:rPr>
        <w:t>CARP</w:t>
      </w:r>
      <w:r w:rsidRPr="004A3F7F">
        <w:t>), was introduced to grant landless farmers and farmworkers secure land tenure in rural areas. It was scheduled to be completed in 1998, but continued in various forms as a government initiative until its end in 2014.</w:t>
      </w:r>
      <w:r w:rsidRPr="004A3F7F">
        <w:rPr>
          <w:vertAlign w:val="superscript"/>
        </w:rPr>
        <w:footnoteReference w:id="47"/>
      </w:r>
      <w:r w:rsidRPr="004A3F7F">
        <w:t xml:space="preserve"> In 2009, CARPER was enacted so to extend yet again the CARP deadline to 2014 for distributing agricultural lands to farmers.</w:t>
      </w:r>
      <w:r w:rsidRPr="004A3F7F">
        <w:rPr>
          <w:vertAlign w:val="superscript"/>
        </w:rPr>
        <w:footnoteReference w:id="48"/>
      </w:r>
      <w:r w:rsidRPr="004A3F7F">
        <w:t xml:space="preserve"> </w:t>
      </w:r>
    </w:p>
    <w:p w:rsidR="004A3F7F" w:rsidRPr="004A3F7F" w:rsidRDefault="004A3F7F" w:rsidP="004A3F7F">
      <w:pPr>
        <w:ind w:left="2126"/>
      </w:pPr>
      <w:r w:rsidRPr="004A3F7F">
        <w:t>2014 was meant to mark the completion of effective transfer of land to the farmers, and also to eliminate the uncertainties in the rural property market.</w:t>
      </w:r>
      <w:r w:rsidRPr="004A3F7F">
        <w:rPr>
          <w:vertAlign w:val="superscript"/>
        </w:rPr>
        <w:footnoteReference w:id="49"/>
      </w:r>
      <w:r w:rsidRPr="004A3F7F">
        <w:t xml:space="preserve"> </w:t>
      </w:r>
      <w:r w:rsidR="00270A74">
        <w:t xml:space="preserve">Four </w:t>
      </w:r>
      <w:r w:rsidRPr="004A3F7F">
        <w:t>years on</w:t>
      </w:r>
      <w:r w:rsidR="00AB6C38">
        <w:t xml:space="preserve"> and there is still work to do in this regard</w:t>
      </w:r>
      <w:r w:rsidRPr="004A3F7F">
        <w:t>.</w:t>
      </w:r>
      <w:r w:rsidR="0000277D">
        <w:rPr>
          <w:rStyle w:val="FootnoteReference"/>
        </w:rPr>
        <w:footnoteReference w:id="50"/>
      </w:r>
      <w:r w:rsidRPr="004A3F7F">
        <w:t xml:space="preserve"> </w:t>
      </w:r>
    </w:p>
    <w:p w:rsidR="004A3F7F" w:rsidRPr="004A3F7F" w:rsidRDefault="004A3F7F" w:rsidP="004A3F7F">
      <w:pPr>
        <w:ind w:left="2126"/>
      </w:pPr>
      <w:r w:rsidRPr="004A3F7F">
        <w:t>CARP has long been subject to criticism by Filipino farmers and advocacy groups.</w:t>
      </w:r>
      <w:bookmarkStart w:id="27" w:name="_Ref490637563"/>
      <w:r w:rsidRPr="004A3F7F">
        <w:rPr>
          <w:vertAlign w:val="superscript"/>
        </w:rPr>
        <w:footnoteReference w:id="51"/>
      </w:r>
      <w:bookmarkEnd w:id="27"/>
      <w:r w:rsidRPr="004A3F7F">
        <w:t xml:space="preserve"> Some argue that</w:t>
      </w:r>
      <w:r w:rsidR="00270A74">
        <w:t>,</w:t>
      </w:r>
      <w:r w:rsidRPr="004A3F7F">
        <w:t xml:space="preserve"> from the outset, it was skewed to benefit landowners rather than small farmers.</w:t>
      </w:r>
      <w:bookmarkStart w:id="28" w:name="_Ref490636905"/>
      <w:r w:rsidRPr="004A3F7F">
        <w:rPr>
          <w:vertAlign w:val="superscript"/>
        </w:rPr>
        <w:footnoteReference w:id="52"/>
      </w:r>
      <w:bookmarkEnd w:id="28"/>
      <w:r w:rsidRPr="004A3F7F">
        <w:t xml:space="preserve"> It is widely agreed that implementation of some of the most necessary reform measures was lacking. The Department of Environment and Natural Resources (</w:t>
      </w:r>
      <w:r w:rsidRPr="004A3F7F">
        <w:rPr>
          <w:b/>
          <w:i/>
        </w:rPr>
        <w:t>DENR</w:t>
      </w:r>
      <w:r w:rsidRPr="004A3F7F">
        <w:t>), the Department of Agricultural &amp; Agrarian Land Reform (</w:t>
      </w:r>
      <w:r w:rsidRPr="004A3F7F">
        <w:rPr>
          <w:b/>
          <w:i/>
        </w:rPr>
        <w:t>DAR</w:t>
      </w:r>
      <w:r w:rsidRPr="004A3F7F">
        <w:t>), the Department of Justice (</w:t>
      </w:r>
      <w:r w:rsidRPr="004A3F7F">
        <w:rPr>
          <w:b/>
          <w:i/>
        </w:rPr>
        <w:t>DOJ</w:t>
      </w:r>
      <w:r w:rsidRPr="004A3F7F">
        <w:t>) and the Land Registration Authority (</w:t>
      </w:r>
      <w:r w:rsidRPr="004A3F7F">
        <w:rPr>
          <w:b/>
          <w:i/>
        </w:rPr>
        <w:t>LR</w:t>
      </w:r>
      <w:r w:rsidR="00FB0225">
        <w:rPr>
          <w:b/>
          <w:i/>
        </w:rPr>
        <w:t>A</w:t>
      </w:r>
      <w:r w:rsidRPr="004A3F7F">
        <w:t>) were among some of the bodies responsible for implementation of the program.</w:t>
      </w:r>
      <w:r w:rsidRPr="004A3F7F">
        <w:rPr>
          <w:vertAlign w:val="superscript"/>
        </w:rPr>
        <w:footnoteReference w:id="53"/>
      </w:r>
      <w:r w:rsidRPr="004A3F7F">
        <w:t xml:space="preserve"> </w:t>
      </w:r>
    </w:p>
    <w:p w:rsidR="004A3F7F" w:rsidRDefault="004A3F7F" w:rsidP="004A3F7F">
      <w:pPr>
        <w:ind w:left="2126"/>
      </w:pPr>
      <w:r w:rsidRPr="004A3F7F">
        <w:t xml:space="preserve">The World Organisation </w:t>
      </w:r>
      <w:proofErr w:type="gramStart"/>
      <w:r w:rsidRPr="004A3F7F">
        <w:t>Against</w:t>
      </w:r>
      <w:proofErr w:type="gramEnd"/>
      <w:r w:rsidRPr="004A3F7F">
        <w:t xml:space="preserve"> Torture (the </w:t>
      </w:r>
      <w:r w:rsidRPr="004A3F7F">
        <w:rPr>
          <w:b/>
          <w:i/>
        </w:rPr>
        <w:t>OMCT</w:t>
      </w:r>
      <w:r w:rsidRPr="004A3F7F">
        <w:t>) has reported concerns that the land reform in the Philippines has included ambiguities that compromise the full enjoyment of land rights by the most vulnerable.</w:t>
      </w:r>
      <w:bookmarkStart w:id="29" w:name="_Ref490636935"/>
      <w:r w:rsidRPr="004A3F7F">
        <w:rPr>
          <w:vertAlign w:val="superscript"/>
        </w:rPr>
        <w:footnoteReference w:id="54"/>
      </w:r>
      <w:bookmarkEnd w:id="29"/>
      <w:r w:rsidRPr="004A3F7F">
        <w:t xml:space="preserve"> For example, landlords are exempt from limitations on the maximum area of land they can own if they assert that they intend to convert land from agricultural use to commercial, industrial or residential use. This has resulted in lands remaining de facto concentrated in the hands of the wealthy few.</w:t>
      </w:r>
      <w:r w:rsidRPr="004A3F7F">
        <w:rPr>
          <w:vertAlign w:val="superscript"/>
        </w:rPr>
        <w:footnoteReference w:id="55"/>
      </w:r>
      <w:r w:rsidRPr="004A3F7F">
        <w:t xml:space="preserve"> There are also reports that CARP led to human rights violations against both those who tried to claim land as well as those who were awarded land under the program – by means of illegal forced evictions, destruction of properties, false criminal charges and physical harassment and assault.</w:t>
      </w:r>
      <w:r w:rsidRPr="004A3F7F">
        <w:rPr>
          <w:vertAlign w:val="superscript"/>
        </w:rPr>
        <w:footnoteReference w:id="56"/>
      </w:r>
      <w:r w:rsidRPr="004A3F7F">
        <w:t xml:space="preserve"> </w:t>
      </w:r>
      <w:proofErr w:type="gramStart"/>
      <w:r w:rsidRPr="004A3F7F">
        <w:t>Between 2001 to 2007,</w:t>
      </w:r>
      <w:proofErr w:type="gramEnd"/>
      <w:r w:rsidRPr="004A3F7F">
        <w:t xml:space="preserve"> approximately 40 famers were allegedly killed </w:t>
      </w:r>
      <w:r w:rsidRPr="004A3F7F">
        <w:lastRenderedPageBreak/>
        <w:t>in the course of their efforts to claim land under CARP.</w:t>
      </w:r>
      <w:r w:rsidRPr="004A3F7F">
        <w:rPr>
          <w:vertAlign w:val="superscript"/>
        </w:rPr>
        <w:footnoteReference w:id="57"/>
      </w:r>
      <w:r w:rsidRPr="004A3F7F">
        <w:t xml:space="preserve"> 57 incidents of human rights violations against 405 agrarian ref</w:t>
      </w:r>
      <w:r w:rsidR="00DC23CB">
        <w:t>orm beneficiaries in the</w:t>
      </w:r>
      <w:r w:rsidRPr="004A3F7F">
        <w:t xml:space="preserve"> Province</w:t>
      </w:r>
      <w:r w:rsidR="00DC23CB">
        <w:t xml:space="preserve"> of Masbate</w:t>
      </w:r>
      <w:r w:rsidRPr="004A3F7F">
        <w:t xml:space="preserve"> (in the Bicol region) were reported in 2007-2008.</w:t>
      </w:r>
      <w:r w:rsidRPr="004A3F7F">
        <w:rPr>
          <w:vertAlign w:val="superscript"/>
        </w:rPr>
        <w:footnoteReference w:id="58"/>
      </w:r>
      <w:r w:rsidRPr="004A3F7F">
        <w:t xml:space="preserve"> Five of those incidents were attributed to the Philippine National Police Regional Mobile Group in reports, while the rest were attributed to non-state actors.</w:t>
      </w:r>
      <w:r w:rsidRPr="004A3F7F">
        <w:rPr>
          <w:vertAlign w:val="superscript"/>
        </w:rPr>
        <w:footnoteReference w:id="59"/>
      </w:r>
      <w:r w:rsidRPr="004A3F7F">
        <w:t xml:space="preserve"> </w:t>
      </w:r>
    </w:p>
    <w:p w:rsidR="008E42CB" w:rsidRPr="00053BD9" w:rsidRDefault="003E0BCB" w:rsidP="004A3F7F">
      <w:pPr>
        <w:ind w:left="2126"/>
      </w:pPr>
      <w:r w:rsidRPr="00053BD9">
        <w:t>A</w:t>
      </w:r>
      <w:r w:rsidR="007D4EF2" w:rsidRPr="00053BD9">
        <w:t xml:space="preserve"> further iss</w:t>
      </w:r>
      <w:r w:rsidRPr="00053BD9">
        <w:t>ue for rural areas are unfair Agribusiness</w:t>
      </w:r>
      <w:r w:rsidR="007D4EF2" w:rsidRPr="00053BD9">
        <w:t xml:space="preserve"> </w:t>
      </w:r>
      <w:r w:rsidRPr="00053BD9">
        <w:t>Venture Arrangements</w:t>
      </w:r>
      <w:r w:rsidR="007D4EF2" w:rsidRPr="00053BD9">
        <w:t xml:space="preserve"> (</w:t>
      </w:r>
      <w:r w:rsidR="007D4EF2" w:rsidRPr="00053BD9">
        <w:rPr>
          <w:b/>
          <w:i/>
        </w:rPr>
        <w:t>AVAs</w:t>
      </w:r>
      <w:r w:rsidR="00EA62C0">
        <w:t>). AVAs are entered into between Agrarian Reform Beneficiaries (</w:t>
      </w:r>
      <w:r w:rsidR="00EA62C0" w:rsidRPr="00EA62C0">
        <w:rPr>
          <w:b/>
          <w:i/>
        </w:rPr>
        <w:t>ARBs</w:t>
      </w:r>
      <w:r w:rsidR="00EA62C0">
        <w:t xml:space="preserve">) and private investors, and are often </w:t>
      </w:r>
      <w:r w:rsidR="00A63FCF">
        <w:t>unfair</w:t>
      </w:r>
      <w:r w:rsidR="00EA62C0">
        <w:t>ly onerous and detrimental to ARBs. For example, AVAs are written i</w:t>
      </w:r>
      <w:r w:rsidR="00704999" w:rsidRPr="00053BD9">
        <w:t>n English,</w:t>
      </w:r>
      <w:r w:rsidR="00EA62C0">
        <w:t xml:space="preserve"> contain inequitable leasing schemes, and are </w:t>
      </w:r>
      <w:r w:rsidR="00EA62C0" w:rsidRPr="00053BD9">
        <w:t>often executed without</w:t>
      </w:r>
      <w:r w:rsidR="00EA62C0">
        <w:t xml:space="preserve"> prior consultation with farmers, </w:t>
      </w:r>
      <w:r w:rsidR="00EA62C0" w:rsidRPr="00053BD9">
        <w:t xml:space="preserve">in violation of </w:t>
      </w:r>
      <w:r w:rsidR="00EA62C0">
        <w:t xml:space="preserve">Filipino </w:t>
      </w:r>
      <w:r w:rsidR="001C5F38">
        <w:t>c</w:t>
      </w:r>
      <w:r w:rsidR="00EA62C0">
        <w:t xml:space="preserve">ontract </w:t>
      </w:r>
      <w:r w:rsidR="001C5F38">
        <w:t>l</w:t>
      </w:r>
      <w:r w:rsidR="00EA62C0">
        <w:t>aw</w:t>
      </w:r>
      <w:r w:rsidR="00EA62C0" w:rsidRPr="00053BD9">
        <w:t xml:space="preserve">. </w:t>
      </w:r>
      <w:r w:rsidR="00EA62C0">
        <w:t>In addition, an</w:t>
      </w:r>
      <w:r w:rsidR="00704999" w:rsidRPr="00053BD9">
        <w:t xml:space="preserve"> </w:t>
      </w:r>
      <w:r w:rsidR="00EA62C0">
        <w:t xml:space="preserve">AVA </w:t>
      </w:r>
      <w:r w:rsidR="00704999" w:rsidRPr="00053BD9">
        <w:t xml:space="preserve">period can </w:t>
      </w:r>
      <w:r w:rsidR="008E42CB" w:rsidRPr="00053BD9">
        <w:t>be</w:t>
      </w:r>
      <w:r w:rsidR="00704999" w:rsidRPr="00053BD9">
        <w:t xml:space="preserve"> up to 15 to 30 years, with provisions </w:t>
      </w:r>
      <w:r w:rsidR="008E42CB" w:rsidRPr="00053BD9">
        <w:t xml:space="preserve">providing </w:t>
      </w:r>
      <w:r w:rsidR="00704999" w:rsidRPr="00053BD9">
        <w:t>for automatic ren</w:t>
      </w:r>
      <w:r w:rsidR="008E42CB" w:rsidRPr="00053BD9">
        <w:t>e</w:t>
      </w:r>
      <w:r w:rsidR="00EA62C0">
        <w:t>wal for a period of another 15 to 30 years, binding farmers to these onerous provisions for a lengthy period of time.</w:t>
      </w:r>
      <w:r w:rsidR="00EA62C0">
        <w:rPr>
          <w:rStyle w:val="FootnoteReference"/>
        </w:rPr>
        <w:footnoteReference w:id="60"/>
      </w:r>
    </w:p>
    <w:p w:rsidR="007D4EF2" w:rsidRDefault="00EA62C0" w:rsidP="004A3F7F">
      <w:pPr>
        <w:ind w:left="2126"/>
      </w:pPr>
      <w:r w:rsidRPr="00053BD9">
        <w:t xml:space="preserve">House Bill </w:t>
      </w:r>
      <w:r>
        <w:t xml:space="preserve">No </w:t>
      </w:r>
      <w:r w:rsidRPr="00053BD9">
        <w:t>5085</w:t>
      </w:r>
      <w:r>
        <w:t xml:space="preserve"> (the </w:t>
      </w:r>
      <w:r>
        <w:rPr>
          <w:b/>
          <w:i/>
        </w:rPr>
        <w:t>AVA Bill</w:t>
      </w:r>
      <w:r>
        <w:t xml:space="preserve">) </w:t>
      </w:r>
      <w:r w:rsidR="003E0BCB" w:rsidRPr="00053BD9">
        <w:t xml:space="preserve">aims to regulate AVAs </w:t>
      </w:r>
      <w:r w:rsidR="00DC3EB9" w:rsidRPr="00053BD9">
        <w:t>in order to safeguard the rights and interests of farmers</w:t>
      </w:r>
      <w:r w:rsidR="00053BD9">
        <w:t xml:space="preserve"> by, for example, mandating</w:t>
      </w:r>
      <w:r w:rsidR="003E0BCB" w:rsidRPr="00053BD9">
        <w:t xml:space="preserve"> a periodic</w:t>
      </w:r>
      <w:r w:rsidR="00DC3EB9" w:rsidRPr="00053BD9">
        <w:t xml:space="preserve"> </w:t>
      </w:r>
      <w:r w:rsidR="003E0BCB" w:rsidRPr="00053BD9">
        <w:t xml:space="preserve">review of </w:t>
      </w:r>
      <w:r w:rsidR="00053BD9">
        <w:t xml:space="preserve">the terms of an </w:t>
      </w:r>
      <w:r w:rsidR="00DC3EB9" w:rsidRPr="00053BD9">
        <w:t>AVA</w:t>
      </w:r>
      <w:r w:rsidR="006679FF">
        <w:t>,</w:t>
      </w:r>
      <w:r w:rsidR="00053BD9">
        <w:t xml:space="preserve"> and</w:t>
      </w:r>
      <w:r w:rsidR="003E0BCB" w:rsidRPr="00053BD9">
        <w:t xml:space="preserve"> giving </w:t>
      </w:r>
      <w:r>
        <w:t>ARBs</w:t>
      </w:r>
      <w:r w:rsidR="003E0BCB" w:rsidRPr="00053BD9">
        <w:t xml:space="preserve"> the right to rescind these agreements.</w:t>
      </w:r>
      <w:r w:rsidR="00053BD9">
        <w:t xml:space="preserve"> </w:t>
      </w:r>
      <w:r w:rsidRPr="00053BD9">
        <w:t>As at January 2018</w:t>
      </w:r>
      <w:r>
        <w:t>, the AVA Bill is</w:t>
      </w:r>
      <w:r w:rsidRPr="00053BD9">
        <w:t xml:space="preserve"> </w:t>
      </w:r>
      <w:r>
        <w:t xml:space="preserve">yet to be passed into law. </w:t>
      </w:r>
    </w:p>
    <w:p w:rsidR="004A3F7F" w:rsidRDefault="004A3F7F" w:rsidP="004A3F7F">
      <w:pPr>
        <w:numPr>
          <w:ilvl w:val="2"/>
          <w:numId w:val="1"/>
        </w:numPr>
        <w:rPr>
          <w:b/>
        </w:rPr>
      </w:pPr>
      <w:bookmarkStart w:id="30" w:name="KeyGov"/>
      <w:bookmarkEnd w:id="30"/>
      <w:r w:rsidRPr="004A3F7F">
        <w:rPr>
          <w:b/>
        </w:rPr>
        <w:t>What are the main government and non-government bodies (</w:t>
      </w:r>
      <w:proofErr w:type="spellStart"/>
      <w:r w:rsidRPr="004A3F7F">
        <w:rPr>
          <w:b/>
        </w:rPr>
        <w:t>eg</w:t>
      </w:r>
      <w:proofErr w:type="spellEnd"/>
      <w:r w:rsidRPr="004A3F7F">
        <w:rPr>
          <w:b/>
        </w:rPr>
        <w:t>, representative bodies) which administer or deal with housing, land and property?</w:t>
      </w:r>
    </w:p>
    <w:tbl>
      <w:tblPr>
        <w:tblStyle w:val="TableGrid1"/>
        <w:tblW w:w="8061" w:type="dxa"/>
        <w:tblInd w:w="1440" w:type="dxa"/>
        <w:tblLook w:val="04A0" w:firstRow="1" w:lastRow="0" w:firstColumn="1" w:lastColumn="0" w:noHBand="0" w:noVBand="1"/>
      </w:tblPr>
      <w:tblGrid>
        <w:gridCol w:w="2215"/>
        <w:gridCol w:w="5846"/>
      </w:tblGrid>
      <w:tr w:rsidR="004A3F7F" w:rsidRPr="004A3F7F" w:rsidTr="004A3F7F">
        <w:trPr>
          <w:trHeight w:val="368"/>
          <w:tblHeader/>
        </w:trPr>
        <w:tc>
          <w:tcPr>
            <w:tcW w:w="0" w:type="auto"/>
            <w:shd w:val="clear" w:color="auto" w:fill="EAF1DD" w:themeFill="accent3" w:themeFillTint="33"/>
          </w:tcPr>
          <w:p w:rsidR="004A3F7F" w:rsidRPr="004A3F7F" w:rsidRDefault="004A3F7F" w:rsidP="004A3F7F">
            <w:pPr>
              <w:rPr>
                <w:b/>
              </w:rPr>
            </w:pPr>
            <w:r w:rsidRPr="004A3F7F">
              <w:rPr>
                <w:b/>
              </w:rPr>
              <w:t>Land classification</w:t>
            </w:r>
          </w:p>
        </w:tc>
        <w:tc>
          <w:tcPr>
            <w:tcW w:w="0" w:type="auto"/>
            <w:shd w:val="clear" w:color="auto" w:fill="EAF1DD" w:themeFill="accent3" w:themeFillTint="33"/>
          </w:tcPr>
          <w:p w:rsidR="004A3F7F" w:rsidRPr="004A3F7F" w:rsidRDefault="004A3F7F" w:rsidP="004A3F7F">
            <w:pPr>
              <w:rPr>
                <w:b/>
              </w:rPr>
            </w:pPr>
            <w:r w:rsidRPr="004A3F7F">
              <w:rPr>
                <w:b/>
              </w:rPr>
              <w:t>Responsible government/non-government bodies</w:t>
            </w:r>
          </w:p>
        </w:tc>
      </w:tr>
      <w:tr w:rsidR="004A3F7F" w:rsidRPr="004A3F7F" w:rsidTr="004A3F7F">
        <w:trPr>
          <w:trHeight w:val="2428"/>
        </w:trPr>
        <w:tc>
          <w:tcPr>
            <w:tcW w:w="0" w:type="auto"/>
          </w:tcPr>
          <w:p w:rsidR="004A3F7F" w:rsidRPr="004A3F7F" w:rsidRDefault="004A3F7F" w:rsidP="004A3F7F">
            <w:pPr>
              <w:rPr>
                <w:b/>
              </w:rPr>
            </w:pPr>
            <w:r w:rsidRPr="004A3F7F">
              <w:rPr>
                <w:b/>
              </w:rPr>
              <w:t xml:space="preserve">Alienable and disposable lands </w:t>
            </w:r>
          </w:p>
          <w:p w:rsidR="004A3F7F" w:rsidRPr="004A3F7F" w:rsidRDefault="004A3F7F" w:rsidP="004A3F7F">
            <w:r w:rsidRPr="004A3F7F">
              <w:t>Urban and rural residential lands</w:t>
            </w:r>
          </w:p>
          <w:p w:rsidR="004A3F7F" w:rsidRPr="004A3F7F" w:rsidRDefault="004A3F7F" w:rsidP="004A3F7F">
            <w:r w:rsidRPr="004A3F7F">
              <w:t xml:space="preserve">Agricultural lands </w:t>
            </w:r>
          </w:p>
          <w:p w:rsidR="004A3F7F" w:rsidRPr="004A3F7F" w:rsidRDefault="004A3F7F" w:rsidP="004A3F7F">
            <w:r w:rsidRPr="004A3F7F">
              <w:t>Public alienable and disposable lands</w:t>
            </w:r>
          </w:p>
        </w:tc>
        <w:tc>
          <w:tcPr>
            <w:tcW w:w="0" w:type="auto"/>
          </w:tcPr>
          <w:p w:rsidR="004A3F7F" w:rsidRPr="004A3F7F" w:rsidRDefault="004A3F7F" w:rsidP="004A3F7F">
            <w:r w:rsidRPr="004A3F7F">
              <w:t>LRA</w:t>
            </w:r>
          </w:p>
          <w:p w:rsidR="004A3F7F" w:rsidRPr="004A3F7F" w:rsidRDefault="004A3F7F" w:rsidP="004A3F7F">
            <w:r w:rsidRPr="004A3F7F">
              <w:t xml:space="preserve">Lands Management Bureau </w:t>
            </w:r>
            <w:r w:rsidR="001C5F38">
              <w:t xml:space="preserve">which </w:t>
            </w:r>
            <w:r w:rsidR="00913CE4">
              <w:t xml:space="preserve">is responsible </w:t>
            </w:r>
            <w:r w:rsidRPr="004A3F7F">
              <w:t>for titling public alienable and disposable lands</w:t>
            </w:r>
          </w:p>
          <w:p w:rsidR="004A3F7F" w:rsidRPr="004A3F7F" w:rsidRDefault="004A3F7F" w:rsidP="004A3F7F">
            <w:r w:rsidRPr="004A3F7F">
              <w:t xml:space="preserve">DAR </w:t>
            </w:r>
          </w:p>
        </w:tc>
      </w:tr>
      <w:tr w:rsidR="004A3F7F" w:rsidRPr="004A3F7F" w:rsidTr="004A3F7F">
        <w:trPr>
          <w:trHeight w:val="1875"/>
        </w:trPr>
        <w:tc>
          <w:tcPr>
            <w:tcW w:w="0" w:type="auto"/>
          </w:tcPr>
          <w:p w:rsidR="004A3F7F" w:rsidRPr="004A3F7F" w:rsidRDefault="004A3F7F" w:rsidP="004A3F7F">
            <w:pPr>
              <w:rPr>
                <w:b/>
              </w:rPr>
            </w:pPr>
            <w:r w:rsidRPr="004A3F7F">
              <w:rPr>
                <w:b/>
              </w:rPr>
              <w:t xml:space="preserve">Public lands </w:t>
            </w:r>
          </w:p>
          <w:p w:rsidR="004A3F7F" w:rsidRPr="004A3F7F" w:rsidRDefault="004A3F7F" w:rsidP="004A3F7F">
            <w:r w:rsidRPr="004A3F7F">
              <w:t xml:space="preserve">Forestlands </w:t>
            </w:r>
          </w:p>
          <w:p w:rsidR="004A3F7F" w:rsidRPr="004A3F7F" w:rsidRDefault="004A3F7F" w:rsidP="004A3F7F">
            <w:r w:rsidRPr="004A3F7F">
              <w:t>National Parks</w:t>
            </w:r>
          </w:p>
          <w:p w:rsidR="004A3F7F" w:rsidRPr="004A3F7F" w:rsidRDefault="004A3F7F" w:rsidP="004A3F7F">
            <w:r w:rsidRPr="004A3F7F">
              <w:t>Mineral lands</w:t>
            </w:r>
          </w:p>
        </w:tc>
        <w:tc>
          <w:tcPr>
            <w:tcW w:w="0" w:type="auto"/>
          </w:tcPr>
          <w:p w:rsidR="004A3F7F" w:rsidRPr="004A3F7F" w:rsidRDefault="004A3F7F" w:rsidP="004A3F7F">
            <w:r w:rsidRPr="004A3F7F">
              <w:t>The DENR and other agencies for watersheds under</w:t>
            </w:r>
            <w:r w:rsidR="00C67FE3">
              <w:t xml:space="preserve"> jurisdiction of other agencies, including Laguna Lake Development Authority for Laguna Lake</w:t>
            </w:r>
          </w:p>
        </w:tc>
      </w:tr>
      <w:tr w:rsidR="004A3F7F" w:rsidRPr="004A3F7F" w:rsidTr="004A3F7F">
        <w:trPr>
          <w:trHeight w:val="753"/>
        </w:trPr>
        <w:tc>
          <w:tcPr>
            <w:tcW w:w="0" w:type="auto"/>
          </w:tcPr>
          <w:p w:rsidR="004A3F7F" w:rsidRPr="004A3F7F" w:rsidRDefault="004A3F7F" w:rsidP="004A3F7F">
            <w:pPr>
              <w:rPr>
                <w:b/>
              </w:rPr>
            </w:pPr>
            <w:r w:rsidRPr="004A3F7F">
              <w:rPr>
                <w:b/>
              </w:rPr>
              <w:t xml:space="preserve">Ancestral Domains </w:t>
            </w:r>
          </w:p>
        </w:tc>
        <w:tc>
          <w:tcPr>
            <w:tcW w:w="0" w:type="auto"/>
          </w:tcPr>
          <w:p w:rsidR="004A3F7F" w:rsidRPr="004A3F7F" w:rsidRDefault="004A3F7F" w:rsidP="004A3F7F">
            <w:r w:rsidRPr="004A3F7F">
              <w:t xml:space="preserve">National Commission on Indigenous Peoples (Philippines) (the </w:t>
            </w:r>
            <w:r w:rsidRPr="004A3F7F">
              <w:rPr>
                <w:b/>
                <w:i/>
              </w:rPr>
              <w:t>NCIP</w:t>
            </w:r>
            <w:r w:rsidRPr="004A3F7F">
              <w:t xml:space="preserve">) </w:t>
            </w:r>
          </w:p>
        </w:tc>
      </w:tr>
    </w:tbl>
    <w:p w:rsidR="004A3F7F" w:rsidRPr="004A3F7F" w:rsidRDefault="004A3F7F" w:rsidP="004A3F7F">
      <w:pPr>
        <w:keepNext/>
        <w:numPr>
          <w:ilvl w:val="1"/>
          <w:numId w:val="1"/>
        </w:numPr>
        <w:spacing w:before="160"/>
        <w:outlineLvl w:val="1"/>
        <w:rPr>
          <w:b/>
          <w:sz w:val="21"/>
          <w:lang w:val="en-US"/>
        </w:rPr>
      </w:pPr>
      <w:bookmarkStart w:id="31" w:name="_Toc490299811"/>
      <w:r w:rsidRPr="004A3F7F">
        <w:rPr>
          <w:b/>
          <w:sz w:val="21"/>
          <w:lang w:val="en-US"/>
        </w:rPr>
        <w:lastRenderedPageBreak/>
        <w:t>Documenting tenure</w:t>
      </w:r>
      <w:bookmarkEnd w:id="31"/>
    </w:p>
    <w:p w:rsidR="004A3F7F" w:rsidRPr="004A3F7F" w:rsidRDefault="004A3F7F" w:rsidP="004A3F7F">
      <w:pPr>
        <w:numPr>
          <w:ilvl w:val="2"/>
          <w:numId w:val="1"/>
        </w:numPr>
        <w:rPr>
          <w:b/>
        </w:rPr>
      </w:pPr>
      <w:bookmarkStart w:id="32" w:name="_Ref496869022"/>
      <w:r w:rsidRPr="004A3F7F">
        <w:rPr>
          <w:b/>
        </w:rPr>
        <w:t>What statutory instruments or legal documents (</w:t>
      </w:r>
      <w:proofErr w:type="spellStart"/>
      <w:r w:rsidRPr="004A3F7F">
        <w:rPr>
          <w:b/>
        </w:rPr>
        <w:t>eg</w:t>
      </w:r>
      <w:proofErr w:type="spellEnd"/>
      <w:r w:rsidRPr="004A3F7F">
        <w:rPr>
          <w:b/>
        </w:rPr>
        <w:t xml:space="preserve"> title deeds or leases) are used to create or transfer tenure?</w:t>
      </w:r>
      <w:bookmarkEnd w:id="32"/>
    </w:p>
    <w:p w:rsidR="004A3F7F" w:rsidRPr="004A3F7F" w:rsidRDefault="004A3F7F" w:rsidP="004A3F7F">
      <w:pPr>
        <w:ind w:left="1418"/>
        <w:rPr>
          <w:lang w:val="en"/>
        </w:rPr>
      </w:pPr>
      <w:r w:rsidRPr="004A3F7F">
        <w:rPr>
          <w:lang w:val="en"/>
        </w:rPr>
        <w:t xml:space="preserve">The common statutory instruments used in the Philippines are as follows: </w:t>
      </w:r>
    </w:p>
    <w:p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the Civil Code, </w:t>
      </w:r>
      <w:r w:rsidR="008A0004">
        <w:rPr>
          <w:rFonts w:eastAsiaTheme="minorHAnsi"/>
          <w:lang w:eastAsia="en-US"/>
        </w:rPr>
        <w:t>a '</w:t>
      </w:r>
      <w:r w:rsidRPr="004A3F7F">
        <w:rPr>
          <w:rFonts w:eastAsiaTheme="minorHAnsi"/>
          <w:lang w:eastAsia="en-US"/>
        </w:rPr>
        <w:t>Certificate of Title</w:t>
      </w:r>
      <w:r w:rsidR="008A0004">
        <w:rPr>
          <w:rFonts w:eastAsiaTheme="minorHAnsi"/>
          <w:lang w:eastAsia="en-US"/>
        </w:rPr>
        <w:t>'</w:t>
      </w:r>
      <w:r w:rsidRPr="004A3F7F">
        <w:rPr>
          <w:rFonts w:eastAsiaTheme="minorHAnsi"/>
          <w:lang w:eastAsia="en-US"/>
        </w:rPr>
        <w:t xml:space="preserve">, </w:t>
      </w:r>
      <w:r w:rsidR="00AA62DE">
        <w:rPr>
          <w:rFonts w:eastAsiaTheme="minorHAnsi"/>
          <w:lang w:eastAsia="en-US"/>
        </w:rPr>
        <w:t xml:space="preserve">possession of </w:t>
      </w:r>
      <w:r w:rsidRPr="004A3F7F">
        <w:rPr>
          <w:rFonts w:eastAsiaTheme="minorHAnsi"/>
          <w:lang w:eastAsia="en-US"/>
        </w:rPr>
        <w:t xml:space="preserve">which proves ownership over a piece of land and is recorded in the </w:t>
      </w:r>
      <w:r w:rsidR="008A0004">
        <w:rPr>
          <w:rFonts w:eastAsiaTheme="minorHAnsi"/>
          <w:lang w:eastAsia="en-US"/>
        </w:rPr>
        <w:t>'</w:t>
      </w:r>
      <w:r w:rsidRPr="004A3F7F">
        <w:rPr>
          <w:rFonts w:eastAsiaTheme="minorHAnsi"/>
          <w:lang w:eastAsia="en-US"/>
        </w:rPr>
        <w:t>Register of Deeds</w:t>
      </w:r>
      <w:r w:rsidR="008A0004">
        <w:rPr>
          <w:rFonts w:eastAsiaTheme="minorHAnsi"/>
          <w:lang w:eastAsia="en-US"/>
        </w:rPr>
        <w:t>'</w:t>
      </w:r>
      <w:r w:rsidRPr="004A3F7F">
        <w:rPr>
          <w:rFonts w:eastAsiaTheme="minorHAnsi"/>
          <w:lang w:eastAsia="en-US"/>
        </w:rPr>
        <w:t xml:space="preserve"> at the LRA in accordance with PRD 1529</w:t>
      </w:r>
      <w:r w:rsidR="00A9529C">
        <w:rPr>
          <w:rFonts w:eastAsiaTheme="minorHAnsi"/>
          <w:lang w:eastAsia="en-US"/>
        </w:rPr>
        <w:t>.</w:t>
      </w:r>
      <w:r w:rsidR="00813E74">
        <w:rPr>
          <w:rStyle w:val="FootnoteReference"/>
          <w:rFonts w:eastAsiaTheme="minorHAnsi"/>
          <w:lang w:eastAsia="en-US"/>
        </w:rPr>
        <w:footnoteReference w:id="61"/>
      </w:r>
    </w:p>
    <w:p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IPRA, the statutory instruments used to create tenure are CADTs </w:t>
      </w:r>
      <w:r w:rsidR="00CE6EF9">
        <w:rPr>
          <w:rFonts w:eastAsiaTheme="minorHAnsi"/>
          <w:lang w:eastAsia="en-US"/>
        </w:rPr>
        <w:t>CALTs</w:t>
      </w:r>
      <w:r w:rsidR="00A9529C">
        <w:rPr>
          <w:rFonts w:eastAsiaTheme="minorHAnsi"/>
          <w:lang w:eastAsia="en-US"/>
        </w:rPr>
        <w:t>.</w:t>
      </w:r>
      <w:r w:rsidR="00813E74">
        <w:rPr>
          <w:rStyle w:val="FootnoteReference"/>
          <w:rFonts w:eastAsiaTheme="minorHAnsi"/>
          <w:lang w:eastAsia="en-US"/>
        </w:rPr>
        <w:footnoteReference w:id="62"/>
      </w:r>
      <w:r w:rsidRPr="004A3F7F">
        <w:rPr>
          <w:rFonts w:eastAsiaTheme="minorHAnsi"/>
          <w:lang w:eastAsia="en-US"/>
        </w:rPr>
        <w:t xml:space="preserve"> </w:t>
      </w:r>
    </w:p>
    <w:p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the Fisheries Code, municipal permits grant user rights to </w:t>
      </w:r>
      <w:proofErr w:type="spellStart"/>
      <w:r w:rsidRPr="004A3F7F">
        <w:rPr>
          <w:rFonts w:eastAsiaTheme="minorHAnsi"/>
          <w:lang w:eastAsia="en-US"/>
        </w:rPr>
        <w:t>fisherfolk</w:t>
      </w:r>
      <w:proofErr w:type="spellEnd"/>
      <w:r w:rsidR="00A9529C">
        <w:rPr>
          <w:rFonts w:eastAsiaTheme="minorHAnsi"/>
          <w:lang w:eastAsia="en-US"/>
        </w:rPr>
        <w:t>.</w:t>
      </w:r>
    </w:p>
    <w:p w:rsidR="004A3F7F" w:rsidRPr="00273B88" w:rsidRDefault="00273B88" w:rsidP="00273B88">
      <w:pPr>
        <w:pStyle w:val="Bullet2"/>
        <w:tabs>
          <w:tab w:val="clear" w:pos="1418"/>
        </w:tabs>
        <w:ind w:left="2149"/>
        <w:rPr>
          <w:rFonts w:eastAsiaTheme="minorHAnsi"/>
          <w:lang w:eastAsia="en-US"/>
        </w:rPr>
      </w:pPr>
      <w:r w:rsidRPr="00273B88">
        <w:rPr>
          <w:rFonts w:eastAsiaTheme="minorHAnsi"/>
          <w:lang w:eastAsia="en-US"/>
        </w:rPr>
        <w:t>Under CARP, there are a</w:t>
      </w:r>
      <w:r w:rsidR="004A3F7F" w:rsidRPr="00273B88">
        <w:rPr>
          <w:rFonts w:eastAsiaTheme="minorHAnsi"/>
          <w:lang w:eastAsia="en-US"/>
        </w:rPr>
        <w:t xml:space="preserve"> range of statutory instruments used</w:t>
      </w:r>
      <w:r w:rsidRPr="00273B88">
        <w:rPr>
          <w:rFonts w:eastAsiaTheme="minorHAnsi"/>
          <w:lang w:eastAsia="en-US"/>
        </w:rPr>
        <w:t>, including</w:t>
      </w:r>
      <w:r>
        <w:rPr>
          <w:rFonts w:eastAsiaTheme="minorHAnsi"/>
          <w:lang w:eastAsia="en-US"/>
        </w:rPr>
        <w:t xml:space="preserve"> </w:t>
      </w:r>
      <w:r w:rsidR="004A3F7F" w:rsidRPr="00273B88">
        <w:rPr>
          <w:rFonts w:eastAsiaTheme="minorHAnsi"/>
          <w:lang w:eastAsia="en-US"/>
        </w:rPr>
        <w:t>Certificates of Land Ownership Awards (</w:t>
      </w:r>
      <w:r w:rsidR="004A3F7F" w:rsidRPr="00273B88">
        <w:rPr>
          <w:rFonts w:eastAsiaTheme="minorHAnsi"/>
          <w:b/>
          <w:i/>
          <w:lang w:eastAsia="en-US"/>
        </w:rPr>
        <w:t>CLOAs</w:t>
      </w:r>
      <w:r w:rsidR="004A3F7F" w:rsidRPr="00273B88">
        <w:rPr>
          <w:rFonts w:eastAsiaTheme="minorHAnsi"/>
          <w:lang w:eastAsia="en-US"/>
        </w:rPr>
        <w:t xml:space="preserve">), which provide </w:t>
      </w:r>
      <w:r w:rsidR="00AA62DE" w:rsidRPr="00273B88">
        <w:rPr>
          <w:rFonts w:eastAsiaTheme="minorHAnsi"/>
          <w:lang w:eastAsia="en-US"/>
        </w:rPr>
        <w:t xml:space="preserve">for </w:t>
      </w:r>
      <w:r w:rsidR="004A3F7F" w:rsidRPr="00273B88">
        <w:rPr>
          <w:rFonts w:eastAsiaTheme="minorHAnsi"/>
          <w:lang w:eastAsia="en-US"/>
        </w:rPr>
        <w:t xml:space="preserve">individualisation of collective </w:t>
      </w:r>
      <w:r w:rsidR="00AA62DE" w:rsidRPr="00273B88">
        <w:rPr>
          <w:rFonts w:eastAsiaTheme="minorHAnsi"/>
          <w:lang w:eastAsia="en-US"/>
        </w:rPr>
        <w:t xml:space="preserve">tenure </w:t>
      </w:r>
      <w:r w:rsidR="004A3F7F" w:rsidRPr="00273B88">
        <w:rPr>
          <w:rFonts w:eastAsiaTheme="minorHAnsi"/>
          <w:lang w:eastAsia="en-US"/>
        </w:rPr>
        <w:t>rights</w:t>
      </w:r>
      <w:r w:rsidR="00AA62DE" w:rsidRPr="00273B88">
        <w:rPr>
          <w:rFonts w:eastAsiaTheme="minorHAnsi"/>
          <w:lang w:eastAsia="en-US"/>
        </w:rPr>
        <w:t xml:space="preserve"> (through </w:t>
      </w:r>
      <w:r w:rsidR="004A3F7F" w:rsidRPr="00273B88">
        <w:rPr>
          <w:rFonts w:eastAsiaTheme="minorHAnsi"/>
          <w:lang w:eastAsia="en-US"/>
        </w:rPr>
        <w:t>a complicated and time</w:t>
      </w:r>
      <w:r w:rsidR="00EA11CD" w:rsidRPr="00273B88">
        <w:rPr>
          <w:rFonts w:eastAsiaTheme="minorHAnsi"/>
          <w:lang w:eastAsia="en-US"/>
        </w:rPr>
        <w:t xml:space="preserve"> consuming application process</w:t>
      </w:r>
      <w:r w:rsidR="00AA62DE" w:rsidRPr="00273B88">
        <w:rPr>
          <w:rFonts w:eastAsiaTheme="minorHAnsi"/>
          <w:lang w:eastAsia="en-US"/>
        </w:rPr>
        <w:t>)</w:t>
      </w:r>
      <w:r w:rsidR="00A9529C" w:rsidRPr="00273B88">
        <w:rPr>
          <w:rFonts w:eastAsiaTheme="minorHAnsi"/>
          <w:lang w:eastAsia="en-US"/>
        </w:rPr>
        <w:t>.</w:t>
      </w:r>
    </w:p>
    <w:p w:rsidR="00273B88" w:rsidRPr="00273B88" w:rsidRDefault="00273B88" w:rsidP="00273B88">
      <w:pPr>
        <w:pStyle w:val="Bullet3"/>
        <w:rPr>
          <w:rFonts w:eastAsiaTheme="minorHAnsi"/>
          <w:lang w:eastAsia="en-US"/>
        </w:rPr>
      </w:pPr>
      <w:r w:rsidRPr="00273B88">
        <w:rPr>
          <w:rFonts w:eastAsiaTheme="minorHAnsi"/>
          <w:lang w:eastAsia="en-US"/>
        </w:rPr>
        <w:t>For private alienable and disposable lands, Emancipation Patents (</w:t>
      </w:r>
      <w:r w:rsidRPr="00273B88">
        <w:rPr>
          <w:rFonts w:eastAsiaTheme="minorHAnsi"/>
          <w:b/>
          <w:i/>
          <w:lang w:eastAsia="en-US"/>
        </w:rPr>
        <w:t>EPs</w:t>
      </w:r>
      <w:r w:rsidRPr="00273B88">
        <w:rPr>
          <w:rFonts w:eastAsiaTheme="minorHAnsi"/>
          <w:lang w:eastAsia="en-US"/>
        </w:rPr>
        <w:t>) which are effectively titles of ownership</w:t>
      </w:r>
      <w:r>
        <w:rPr>
          <w:rFonts w:eastAsiaTheme="minorHAnsi"/>
          <w:lang w:eastAsia="en-US"/>
        </w:rPr>
        <w:t>,</w:t>
      </w:r>
      <w:r w:rsidRPr="00273B88">
        <w:rPr>
          <w:rFonts w:eastAsiaTheme="minorHAnsi"/>
          <w:lang w:eastAsia="en-US"/>
        </w:rPr>
        <w:t xml:space="preserve"> </w:t>
      </w:r>
      <w:r w:rsidR="000D09BA">
        <w:rPr>
          <w:rFonts w:eastAsiaTheme="minorHAnsi"/>
          <w:lang w:eastAsia="en-US"/>
        </w:rPr>
        <w:t xml:space="preserve">issued under </w:t>
      </w:r>
      <w:r w:rsidRPr="00273B88">
        <w:rPr>
          <w:rFonts w:eastAsiaTheme="minorHAnsi"/>
          <w:lang w:eastAsia="en-US"/>
        </w:rPr>
        <w:t>Presidential Decree No 27 and Presidential Decree No 266.</w:t>
      </w:r>
    </w:p>
    <w:p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Section 22 of the CARL provides that beneficiaries have usufruct rights over award land as soon as the DAR takes possession of such land, even if the beneficiary's EP or CLOA (as the case may be) is still pending. However, section 12 of CARP provides that lands subject to an EP or a CLOA cannot be transferred or sold for a period of 10 years unless through inheritance. </w:t>
      </w:r>
    </w:p>
    <w:p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UDHA, a certificate of award from the National Housing Authority to the beneficiary provides the beneficiary with the right of occupation, </w:t>
      </w:r>
      <w:r w:rsidR="00A9529C">
        <w:rPr>
          <w:rFonts w:eastAsiaTheme="minorHAnsi"/>
          <w:lang w:eastAsia="en-US"/>
        </w:rPr>
        <w:t xml:space="preserve">but </w:t>
      </w:r>
      <w:r w:rsidRPr="004A3F7F">
        <w:rPr>
          <w:rFonts w:eastAsiaTheme="minorHAnsi"/>
          <w:lang w:eastAsia="en-US"/>
        </w:rPr>
        <w:t>not sale, transfer or lease.</w:t>
      </w:r>
      <w:r w:rsidR="00813E74">
        <w:rPr>
          <w:rStyle w:val="FootnoteReference"/>
          <w:rFonts w:eastAsiaTheme="minorHAnsi"/>
          <w:lang w:eastAsia="en-US"/>
        </w:rPr>
        <w:footnoteReference w:id="63"/>
      </w:r>
      <w:r w:rsidRPr="004A3F7F">
        <w:rPr>
          <w:rFonts w:eastAsiaTheme="minorHAnsi"/>
          <w:lang w:eastAsia="en-US"/>
        </w:rPr>
        <w:t xml:space="preserve"> On the final payment for the land and house parcel (over a 30 year period with a six per cent interest rate), the beneficiary will receive ownership but may not sell or transfer the property for another 10 years unless through inheritance.</w:t>
      </w:r>
    </w:p>
    <w:p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 xml:space="preserve">Under the Community Mortgage Program (the </w:t>
      </w:r>
      <w:r w:rsidRPr="00A9529C">
        <w:rPr>
          <w:rFonts w:eastAsiaTheme="minorHAnsi"/>
          <w:b/>
          <w:i/>
          <w:lang w:eastAsia="en-US"/>
        </w:rPr>
        <w:t>CMP</w:t>
      </w:r>
      <w:r w:rsidRPr="004A3F7F">
        <w:rPr>
          <w:rFonts w:eastAsiaTheme="minorHAnsi"/>
          <w:lang w:eastAsia="en-US"/>
        </w:rPr>
        <w:t>) which allows UDHA beneficiaries to access mortgage finance to develop land through community ownership structure, individual beneficiaries receive ownership of their lot through a 'Lease Purchase Agreement' with the applicable community association on full repayment of the community loan.</w:t>
      </w:r>
      <w:r w:rsidR="00813E74">
        <w:rPr>
          <w:rStyle w:val="FootnoteReference"/>
          <w:rFonts w:eastAsiaTheme="minorHAnsi"/>
          <w:lang w:eastAsia="en-US"/>
        </w:rPr>
        <w:footnoteReference w:id="64"/>
      </w:r>
    </w:p>
    <w:p w:rsidR="004A3F7F" w:rsidRPr="004A3F7F" w:rsidRDefault="004A3F7F" w:rsidP="004A3F7F">
      <w:pPr>
        <w:pStyle w:val="Bullet2"/>
        <w:tabs>
          <w:tab w:val="clear" w:pos="1418"/>
        </w:tabs>
        <w:ind w:left="2149"/>
        <w:rPr>
          <w:rFonts w:eastAsiaTheme="minorHAnsi"/>
          <w:lang w:eastAsia="en-US"/>
        </w:rPr>
      </w:pPr>
      <w:r w:rsidRPr="004A3F7F">
        <w:rPr>
          <w:rFonts w:eastAsiaTheme="minorHAnsi"/>
          <w:lang w:eastAsia="en-US"/>
        </w:rPr>
        <w:t>Under article 572 of the Civil Code, there is also the right of usufruct (that allows the right to use land belonging to another person, and to lease or alienate the right of usufruct subject to the conditions of the grant).</w:t>
      </w:r>
    </w:p>
    <w:p w:rsidR="004A3F7F" w:rsidRPr="004A3F7F" w:rsidRDefault="004A3F7F" w:rsidP="00813E74">
      <w:pPr>
        <w:pStyle w:val="Bullet2"/>
        <w:numPr>
          <w:ilvl w:val="0"/>
          <w:numId w:val="0"/>
        </w:numPr>
        <w:ind w:left="2149"/>
        <w:rPr>
          <w:rFonts w:eastAsiaTheme="minorHAnsi"/>
          <w:lang w:eastAsia="en-US"/>
        </w:rPr>
      </w:pPr>
      <w:r w:rsidRPr="004A3F7F">
        <w:rPr>
          <w:rFonts w:eastAsiaTheme="minorHAnsi"/>
          <w:lang w:eastAsia="en-US"/>
        </w:rPr>
        <w:t xml:space="preserve">This right expires on the expiry of an agreed term or on the death of the beneficiary. These rights are not common in the Philippines but they are used by </w:t>
      </w:r>
      <w:r w:rsidRPr="004A3F7F">
        <w:rPr>
          <w:rFonts w:eastAsiaTheme="minorHAnsi"/>
          <w:lang w:eastAsia="en-US"/>
        </w:rPr>
        <w:lastRenderedPageBreak/>
        <w:t xml:space="preserve">some LGUs such as the City of </w:t>
      </w:r>
      <w:proofErr w:type="spellStart"/>
      <w:r w:rsidRPr="004A3F7F">
        <w:rPr>
          <w:rFonts w:eastAsiaTheme="minorHAnsi"/>
          <w:lang w:eastAsia="en-US"/>
        </w:rPr>
        <w:t>Taguig</w:t>
      </w:r>
      <w:proofErr w:type="spellEnd"/>
      <w:r w:rsidRPr="004A3F7F">
        <w:rPr>
          <w:rFonts w:eastAsiaTheme="minorHAnsi"/>
          <w:lang w:eastAsia="en-US"/>
        </w:rPr>
        <w:t xml:space="preserve"> (in Metro Manila) and </w:t>
      </w:r>
      <w:proofErr w:type="spellStart"/>
      <w:r w:rsidRPr="004A3F7F">
        <w:rPr>
          <w:rFonts w:eastAsiaTheme="minorHAnsi"/>
          <w:lang w:eastAsia="en-US"/>
        </w:rPr>
        <w:t>Muntinlupa</w:t>
      </w:r>
      <w:proofErr w:type="spellEnd"/>
      <w:r w:rsidRPr="004A3F7F">
        <w:rPr>
          <w:rFonts w:eastAsiaTheme="minorHAnsi"/>
          <w:lang w:eastAsia="en-US"/>
        </w:rPr>
        <w:t xml:space="preserve"> (in the National Capital Region).</w:t>
      </w:r>
      <w:r w:rsidR="00813E74">
        <w:rPr>
          <w:rStyle w:val="FootnoteReference"/>
          <w:rFonts w:eastAsiaTheme="minorHAnsi"/>
          <w:lang w:eastAsia="en-US"/>
        </w:rPr>
        <w:footnoteReference w:id="65"/>
      </w:r>
    </w:p>
    <w:p w:rsidR="004A3F7F" w:rsidRPr="004A3F7F" w:rsidRDefault="004A3F7F" w:rsidP="004A3F7F">
      <w:pPr>
        <w:pStyle w:val="Bullet2"/>
        <w:tabs>
          <w:tab w:val="clear" w:pos="1418"/>
        </w:tabs>
        <w:ind w:left="2149"/>
        <w:rPr>
          <w:rFonts w:eastAsiaTheme="minorHAnsi"/>
          <w:lang w:eastAsia="en-US"/>
        </w:rPr>
      </w:pPr>
      <w:bookmarkStart w:id="33" w:name="UseRights"/>
      <w:bookmarkEnd w:id="33"/>
      <w:r w:rsidRPr="004A3F7F">
        <w:rPr>
          <w:rFonts w:eastAsiaTheme="minorHAnsi"/>
          <w:lang w:eastAsia="en-US"/>
        </w:rPr>
        <w:t>Section 38 of the Forestry Code also gives tenure through issuing timber licenses and concessions. The tenure rights are that of right of harvest and right of exclusion (preventing entry by others) but not the right to sell or transfer the licence/concession.</w:t>
      </w:r>
      <w:r w:rsidR="00192B65">
        <w:rPr>
          <w:rStyle w:val="FootnoteReference"/>
          <w:rFonts w:eastAsiaTheme="minorHAnsi"/>
          <w:lang w:eastAsia="en-US"/>
        </w:rPr>
        <w:footnoteReference w:id="66"/>
      </w:r>
    </w:p>
    <w:p w:rsidR="004A3F7F" w:rsidRPr="004A3F7F" w:rsidRDefault="00C36165" w:rsidP="004A3F7F">
      <w:pPr>
        <w:ind w:left="1418"/>
      </w:pPr>
      <w:r>
        <w:t xml:space="preserve">This is not a comprehensive </w:t>
      </w:r>
      <w:r w:rsidR="004A3F7F" w:rsidRPr="004A3F7F">
        <w:t xml:space="preserve">overview of all statutory instruments or legal documents that are used to create or transfer tenure in the Philippines. There are numerous systems for issuing tenure instruments because tenure governance in the Philippines is based on </w:t>
      </w:r>
      <w:r w:rsidR="00A9529C">
        <w:t>multiple pieces of legislation that define</w:t>
      </w:r>
      <w:r w:rsidR="004A3F7F" w:rsidRPr="004A3F7F">
        <w:t xml:space="preserve"> the policy, legal and organisation frameworks related to tenure and governance of land, forests and fisheries.</w:t>
      </w:r>
      <w:r w:rsidR="004A3F7F" w:rsidRPr="004A3F7F">
        <w:rPr>
          <w:vertAlign w:val="superscript"/>
          <w:lang w:val="en"/>
        </w:rPr>
        <w:footnoteReference w:id="67"/>
      </w:r>
    </w:p>
    <w:p w:rsidR="004A3F7F" w:rsidRPr="004A3F7F" w:rsidRDefault="004A3F7F" w:rsidP="004A3F7F">
      <w:pPr>
        <w:ind w:left="1418"/>
      </w:pPr>
      <w:r w:rsidRPr="004A3F7F">
        <w:t xml:space="preserve">New laws or amendments that are passed by the legislature do not necessarily result in old laws being repealed. Sections of old laws are instead superseded, replaced or amended by the new laws, allowing the old laws to retain 'residual' validity in whole or in part. There is also a highly sectoral approach to tenure reform. </w:t>
      </w:r>
    </w:p>
    <w:p w:rsidR="004A3F7F" w:rsidRPr="004A3F7F" w:rsidRDefault="004A3F7F" w:rsidP="004A3F7F">
      <w:pPr>
        <w:numPr>
          <w:ilvl w:val="2"/>
          <w:numId w:val="1"/>
        </w:numPr>
        <w:rPr>
          <w:b/>
          <w:lang w:val="en-US"/>
        </w:rPr>
      </w:pPr>
      <w:r w:rsidRPr="004A3F7F">
        <w:rPr>
          <w:b/>
          <w:lang w:val="en-US"/>
        </w:rPr>
        <w:t>What non-legal documents or actions (e.g. verbal agreements or handshakes) are used to create or transfer tenure?</w:t>
      </w:r>
    </w:p>
    <w:p w:rsidR="004A3F7F" w:rsidRPr="004A3F7F" w:rsidRDefault="004A3F7F" w:rsidP="004A3F7F">
      <w:pPr>
        <w:ind w:left="1418"/>
        <w:rPr>
          <w:highlight w:val="green"/>
          <w:lang w:val="en-US"/>
        </w:rPr>
      </w:pPr>
      <w:r w:rsidRPr="004A3F7F">
        <w:rPr>
          <w:lang w:val="en-US"/>
        </w:rPr>
        <w:t xml:space="preserve">It is not possible to create or transfer tenure absent legal documents. Non-legal actions that may contribute to customary ownership of land in the Philippines, </w:t>
      </w:r>
      <w:r w:rsidRPr="004A3F7F">
        <w:t>which will be discussed in detail in</w:t>
      </w:r>
      <w:hyperlink w:anchor="Informal" w:history="1">
        <w:r w:rsidRPr="000F1E06">
          <w:rPr>
            <w:rStyle w:val="Hyperlink"/>
            <w:color w:val="auto"/>
            <w:u w:val="none"/>
          </w:rPr>
          <w:t xml:space="preserve"> section 2.4,</w:t>
        </w:r>
      </w:hyperlink>
      <w:r w:rsidRPr="000F1E06">
        <w:t xml:space="preserve"> a</w:t>
      </w:r>
      <w:r w:rsidRPr="004A3F7F">
        <w:t>re addressed under IPRA and the Constitution.</w:t>
      </w:r>
    </w:p>
    <w:p w:rsidR="00F053B8" w:rsidRPr="008A5BB7" w:rsidRDefault="004E3B0E" w:rsidP="006A2F0E">
      <w:pPr>
        <w:pStyle w:val="AllensHeading2"/>
        <w:rPr>
          <w:rFonts w:eastAsiaTheme="minorHAnsi"/>
          <w:lang w:eastAsia="en-US"/>
        </w:rPr>
      </w:pPr>
      <w:bookmarkStart w:id="34" w:name="_Toc513116251"/>
      <w:bookmarkEnd w:id="26"/>
      <w:r w:rsidRPr="008A5BB7">
        <w:rPr>
          <w:rFonts w:eastAsiaTheme="minorHAnsi"/>
          <w:lang w:eastAsia="en-US"/>
        </w:rPr>
        <w:t>Customary ownership</w:t>
      </w:r>
      <w:bookmarkEnd w:id="34"/>
    </w:p>
    <w:p w:rsidR="00F053B8" w:rsidRPr="007B3B00" w:rsidRDefault="009248E2" w:rsidP="00223AFB">
      <w:pPr>
        <w:pStyle w:val="AllensHeading3"/>
        <w:rPr>
          <w:rFonts w:eastAsiaTheme="minorHAnsi"/>
          <w:lang w:eastAsia="en-US"/>
        </w:rPr>
      </w:pPr>
      <w:r w:rsidRPr="007B3B00">
        <w:rPr>
          <w:b/>
          <w:lang w:val="en-US"/>
        </w:rPr>
        <w:t xml:space="preserve">Is customary ownership of land legally </w:t>
      </w:r>
      <w:proofErr w:type="spellStart"/>
      <w:r w:rsidR="000A5AC0">
        <w:rPr>
          <w:b/>
          <w:lang w:val="en-US"/>
        </w:rPr>
        <w:t>recognise</w:t>
      </w:r>
      <w:r w:rsidRPr="007B3B00">
        <w:rPr>
          <w:b/>
          <w:lang w:val="en-US"/>
        </w:rPr>
        <w:t>d</w:t>
      </w:r>
      <w:proofErr w:type="spellEnd"/>
      <w:r w:rsidRPr="007B3B00">
        <w:rPr>
          <w:b/>
          <w:lang w:val="en-US"/>
        </w:rPr>
        <w:t>? If so, what is the basis for legal recognition?</w:t>
      </w:r>
    </w:p>
    <w:p w:rsidR="008A5BB7" w:rsidRDefault="008A5BB7" w:rsidP="00F226A5">
      <w:pPr>
        <w:pStyle w:val="NormalIndent"/>
        <w:ind w:left="1418"/>
        <w:rPr>
          <w:rFonts w:eastAsiaTheme="minorHAnsi"/>
          <w:lang w:eastAsia="en-US"/>
        </w:rPr>
      </w:pPr>
      <w:r w:rsidRPr="0030592B">
        <w:t xml:space="preserve">IPRA </w:t>
      </w:r>
      <w:r w:rsidRPr="0030592B">
        <w:rPr>
          <w:rFonts w:eastAsiaTheme="minorHAnsi"/>
          <w:lang w:eastAsia="en-US"/>
        </w:rPr>
        <w:t>defines</w:t>
      </w:r>
      <w:r w:rsidRPr="00755333">
        <w:rPr>
          <w:rFonts w:eastAsiaTheme="minorHAnsi"/>
          <w:i/>
          <w:lang w:eastAsia="en-US"/>
        </w:rPr>
        <w:t xml:space="preserve"> </w:t>
      </w:r>
      <w:r w:rsidRPr="00755333">
        <w:rPr>
          <w:rFonts w:eastAsiaTheme="minorHAnsi"/>
          <w:lang w:eastAsia="en-US"/>
        </w:rPr>
        <w:t xml:space="preserve">customary law as </w:t>
      </w:r>
      <w:r w:rsidRPr="00662CBB">
        <w:rPr>
          <w:rFonts w:eastAsiaTheme="minorHAnsi"/>
          <w:lang w:eastAsia="en-US"/>
        </w:rPr>
        <w:t xml:space="preserve">'a body of written and/or unwritten rules, usages, customs and practices traditionally and continually </w:t>
      </w:r>
      <w:r w:rsidR="000A5AC0">
        <w:rPr>
          <w:rFonts w:eastAsiaTheme="minorHAnsi"/>
          <w:lang w:eastAsia="en-US"/>
        </w:rPr>
        <w:t>recognise</w:t>
      </w:r>
      <w:r w:rsidRPr="00662CBB">
        <w:rPr>
          <w:rFonts w:eastAsiaTheme="minorHAnsi"/>
          <w:lang w:eastAsia="en-US"/>
        </w:rPr>
        <w:t xml:space="preserve">d, accepted and observed by respective' </w:t>
      </w:r>
      <w:r>
        <w:rPr>
          <w:rFonts w:eastAsiaTheme="minorHAnsi"/>
          <w:lang w:eastAsia="en-US"/>
        </w:rPr>
        <w:t>I</w:t>
      </w:r>
      <w:r w:rsidRPr="00662CBB">
        <w:rPr>
          <w:rFonts w:eastAsiaTheme="minorHAnsi"/>
          <w:lang w:eastAsia="en-US"/>
        </w:rPr>
        <w:t>CCs</w:t>
      </w:r>
      <w:r w:rsidRPr="00755333">
        <w:rPr>
          <w:rFonts w:eastAsiaTheme="minorHAnsi"/>
          <w:lang w:eastAsia="en-US"/>
        </w:rPr>
        <w:t xml:space="preserve"> and IPs.</w:t>
      </w:r>
      <w:r w:rsidRPr="00755333">
        <w:rPr>
          <w:rStyle w:val="FootnoteReference"/>
          <w:rFonts w:eastAsiaTheme="minorHAnsi"/>
          <w:lang w:eastAsia="en-US"/>
        </w:rPr>
        <w:footnoteReference w:id="68"/>
      </w:r>
      <w:r w:rsidRPr="00755333">
        <w:rPr>
          <w:rFonts w:eastAsiaTheme="minorHAnsi"/>
          <w:lang w:eastAsia="en-US"/>
        </w:rPr>
        <w:t xml:space="preserve"> It has also been defined as </w:t>
      </w:r>
      <w:r w:rsidRPr="00662CBB">
        <w:rPr>
          <w:rFonts w:eastAsiaTheme="minorHAnsi"/>
          <w:lang w:eastAsia="en-US"/>
        </w:rPr>
        <w:t xml:space="preserve">a 'set of customs, practices and beliefs that are accepted as obligatory rules of conduct by </w:t>
      </w:r>
      <w:r w:rsidR="00D52C75">
        <w:rPr>
          <w:rFonts w:eastAsiaTheme="minorHAnsi"/>
          <w:lang w:eastAsia="en-US"/>
        </w:rPr>
        <w:t xml:space="preserve">IPs </w:t>
      </w:r>
      <w:r w:rsidRPr="00662CBB">
        <w:rPr>
          <w:rFonts w:eastAsiaTheme="minorHAnsi"/>
          <w:lang w:eastAsia="en-US"/>
        </w:rPr>
        <w:t>and local communities'.</w:t>
      </w:r>
      <w:r w:rsidRPr="00662CBB">
        <w:rPr>
          <w:rStyle w:val="FootnoteReference"/>
          <w:rFonts w:eastAsiaTheme="minorHAnsi"/>
          <w:lang w:eastAsia="en-US"/>
        </w:rPr>
        <w:footnoteReference w:id="69"/>
      </w:r>
    </w:p>
    <w:p w:rsidR="00755333" w:rsidRPr="008D6DDA" w:rsidRDefault="00755333" w:rsidP="00F226A5">
      <w:pPr>
        <w:pStyle w:val="NormalIndent"/>
        <w:ind w:left="1418"/>
      </w:pPr>
      <w:r w:rsidRPr="007B3B00">
        <w:t>Customary ownership of land in the Philippines is</w:t>
      </w:r>
      <w:r w:rsidR="00662CBB">
        <w:t xml:space="preserve"> </w:t>
      </w:r>
      <w:r w:rsidR="00662CBB" w:rsidRPr="0030592B">
        <w:t xml:space="preserve">primarily </w:t>
      </w:r>
      <w:r w:rsidRPr="007B3B00">
        <w:t>recognised</w:t>
      </w:r>
      <w:r>
        <w:t xml:space="preserve"> </w:t>
      </w:r>
      <w:r w:rsidRPr="0030592B">
        <w:t xml:space="preserve">in IPRA and the </w:t>
      </w:r>
      <w:r w:rsidR="0030592B" w:rsidRPr="0030592B">
        <w:t>Constitution.</w:t>
      </w:r>
    </w:p>
    <w:p w:rsidR="00755333" w:rsidRDefault="00755333" w:rsidP="00D5203A">
      <w:pPr>
        <w:pStyle w:val="Bullet2"/>
        <w:tabs>
          <w:tab w:val="clear" w:pos="1418"/>
        </w:tabs>
        <w:ind w:left="2149"/>
      </w:pPr>
      <w:r w:rsidRPr="0030592B">
        <w:t>IPRA</w:t>
      </w:r>
      <w:r>
        <w:t xml:space="preserve">, which </w:t>
      </w:r>
      <w:r w:rsidR="008A5BB7">
        <w:t xml:space="preserve">is </w:t>
      </w:r>
      <w:r>
        <w:t>discussed in de</w:t>
      </w:r>
      <w:r w:rsidRPr="000F1E06">
        <w:t xml:space="preserve">tail in </w:t>
      </w:r>
      <w:hyperlink w:anchor="Indigenous" w:history="1">
        <w:r w:rsidRPr="000F1E06">
          <w:rPr>
            <w:rStyle w:val="Hyperlink"/>
            <w:color w:val="auto"/>
            <w:u w:val="none"/>
          </w:rPr>
          <w:t>section 3.2,</w:t>
        </w:r>
      </w:hyperlink>
      <w:r w:rsidRPr="000F1E06">
        <w:t xml:space="preserve"> p</w:t>
      </w:r>
      <w:r>
        <w:t xml:space="preserve">rovides </w:t>
      </w:r>
      <w:r w:rsidRPr="00713DBA">
        <w:rPr>
          <w:rFonts w:eastAsiaTheme="minorHAnsi"/>
          <w:lang w:eastAsia="en-US"/>
        </w:rPr>
        <w:t>'unequivocal recogn</w:t>
      </w:r>
      <w:r>
        <w:rPr>
          <w:rFonts w:eastAsiaTheme="minorHAnsi"/>
          <w:lang w:eastAsia="en-US"/>
        </w:rPr>
        <w:t xml:space="preserve">ition of customary land rights', and permits </w:t>
      </w:r>
      <w:r>
        <w:t xml:space="preserve">Filipinos to obtain </w:t>
      </w:r>
      <w:r>
        <w:rPr>
          <w:rFonts w:eastAsiaTheme="minorHAnsi"/>
          <w:lang w:eastAsia="en-US"/>
        </w:rPr>
        <w:t>'</w:t>
      </w:r>
      <w:r w:rsidRPr="00713DBA">
        <w:rPr>
          <w:rFonts w:eastAsiaTheme="minorHAnsi"/>
          <w:lang w:eastAsia="en-US"/>
        </w:rPr>
        <w:t>written titles to genuine claims over ancestral lands and domains</w:t>
      </w:r>
      <w:r>
        <w:rPr>
          <w:rFonts w:eastAsiaTheme="minorHAnsi"/>
          <w:lang w:eastAsia="en-US"/>
        </w:rPr>
        <w:t>'.</w:t>
      </w:r>
      <w:bookmarkStart w:id="35" w:name="_Ref504405631"/>
      <w:r>
        <w:rPr>
          <w:rStyle w:val="FootnoteReference"/>
          <w:rFonts w:eastAsiaTheme="minorHAnsi"/>
          <w:lang w:eastAsia="en-US"/>
        </w:rPr>
        <w:footnoteReference w:id="70"/>
      </w:r>
      <w:bookmarkEnd w:id="35"/>
      <w:r w:rsidR="00EE3A10">
        <w:rPr>
          <w:rFonts w:eastAsiaTheme="minorHAnsi"/>
          <w:lang w:eastAsia="en-US"/>
        </w:rPr>
        <w:t xml:space="preserve"> </w:t>
      </w:r>
      <w:r w:rsidR="0022330A">
        <w:rPr>
          <w:rFonts w:eastAsiaTheme="minorHAnsi"/>
          <w:lang w:eastAsia="en-US"/>
        </w:rPr>
        <w:t>U</w:t>
      </w:r>
      <w:r>
        <w:rPr>
          <w:rFonts w:eastAsiaTheme="minorHAnsi"/>
          <w:lang w:eastAsia="en-US"/>
        </w:rPr>
        <w:t>nder</w:t>
      </w:r>
      <w:r w:rsidR="00662CBB">
        <w:rPr>
          <w:rFonts w:eastAsiaTheme="minorHAnsi"/>
          <w:lang w:eastAsia="en-US"/>
        </w:rPr>
        <w:t xml:space="preserve"> IPRA</w:t>
      </w:r>
      <w:r w:rsidR="0022330A">
        <w:rPr>
          <w:rFonts w:eastAsiaTheme="minorHAnsi"/>
          <w:lang w:eastAsia="en-US"/>
        </w:rPr>
        <w:t>,</w:t>
      </w:r>
      <w:r w:rsidR="00EE3A10">
        <w:rPr>
          <w:rFonts w:eastAsiaTheme="minorHAnsi"/>
          <w:lang w:eastAsia="en-US"/>
        </w:rPr>
        <w:t xml:space="preserve"> </w:t>
      </w:r>
      <w:r>
        <w:rPr>
          <w:rFonts w:eastAsiaTheme="minorHAnsi"/>
          <w:lang w:eastAsia="en-US"/>
        </w:rPr>
        <w:t>the</w:t>
      </w:r>
      <w:r w:rsidR="00662CBB">
        <w:rPr>
          <w:rFonts w:eastAsiaTheme="minorHAnsi"/>
          <w:lang w:eastAsia="en-US"/>
        </w:rPr>
        <w:t xml:space="preserve"> NCIP</w:t>
      </w:r>
      <w:r>
        <w:rPr>
          <w:rFonts w:eastAsiaTheme="minorHAnsi"/>
          <w:lang w:eastAsia="en-US"/>
        </w:rPr>
        <w:t xml:space="preserve"> is responsible for issuing</w:t>
      </w:r>
      <w:r w:rsidRPr="00E06218">
        <w:rPr>
          <w:rFonts w:eastAsiaTheme="minorHAnsi"/>
          <w:lang w:eastAsia="en-US"/>
        </w:rPr>
        <w:t xml:space="preserve"> </w:t>
      </w:r>
      <w:r w:rsidR="00662CBB">
        <w:rPr>
          <w:rFonts w:eastAsiaTheme="minorHAnsi"/>
          <w:lang w:eastAsia="en-US"/>
        </w:rPr>
        <w:t xml:space="preserve">CADTs and </w:t>
      </w:r>
      <w:r w:rsidRPr="00E06218">
        <w:rPr>
          <w:rFonts w:eastAsiaTheme="minorHAnsi"/>
          <w:lang w:eastAsia="en-US"/>
        </w:rPr>
        <w:t>C</w:t>
      </w:r>
      <w:r w:rsidR="0030592B">
        <w:rPr>
          <w:rFonts w:eastAsiaTheme="minorHAnsi"/>
          <w:lang w:eastAsia="en-US"/>
        </w:rPr>
        <w:t>ALT</w:t>
      </w:r>
      <w:r w:rsidR="00662CBB">
        <w:rPr>
          <w:rFonts w:eastAsiaTheme="minorHAnsi"/>
          <w:lang w:eastAsia="en-US"/>
        </w:rPr>
        <w:t>s</w:t>
      </w:r>
      <w:r w:rsidR="0030592B">
        <w:rPr>
          <w:rFonts w:eastAsiaTheme="minorHAnsi"/>
          <w:lang w:eastAsia="en-US"/>
        </w:rPr>
        <w:t xml:space="preserve"> </w:t>
      </w:r>
      <w:r>
        <w:rPr>
          <w:rFonts w:eastAsiaTheme="minorHAnsi"/>
          <w:lang w:eastAsia="en-US"/>
        </w:rPr>
        <w:t xml:space="preserve">with respect to </w:t>
      </w:r>
      <w:r w:rsidR="0022330A">
        <w:rPr>
          <w:rFonts w:eastAsiaTheme="minorHAnsi"/>
          <w:lang w:eastAsia="en-US"/>
        </w:rPr>
        <w:t xml:space="preserve">ancestral </w:t>
      </w:r>
      <w:r w:rsidR="00CE6EF9">
        <w:rPr>
          <w:rFonts w:eastAsiaTheme="minorHAnsi"/>
          <w:lang w:eastAsia="en-US"/>
        </w:rPr>
        <w:t xml:space="preserve">domain </w:t>
      </w:r>
      <w:r>
        <w:rPr>
          <w:rFonts w:eastAsiaTheme="minorHAnsi"/>
          <w:lang w:eastAsia="en-US"/>
        </w:rPr>
        <w:t xml:space="preserve">and </w:t>
      </w:r>
      <w:r w:rsidR="00CE6EF9">
        <w:rPr>
          <w:rFonts w:eastAsiaTheme="minorHAnsi"/>
          <w:lang w:eastAsia="en-US"/>
        </w:rPr>
        <w:t xml:space="preserve">land </w:t>
      </w:r>
      <w:r w:rsidR="0022330A">
        <w:rPr>
          <w:rFonts w:eastAsiaTheme="minorHAnsi"/>
          <w:lang w:eastAsia="en-US"/>
        </w:rPr>
        <w:t>respectively</w:t>
      </w:r>
      <w:r>
        <w:rPr>
          <w:rFonts w:eastAsiaTheme="minorHAnsi"/>
          <w:lang w:eastAsia="en-US"/>
        </w:rPr>
        <w:t xml:space="preserve">, providing statutory recognition of </w:t>
      </w:r>
      <w:r w:rsidR="00D52C75">
        <w:rPr>
          <w:rFonts w:eastAsiaTheme="minorHAnsi"/>
          <w:lang w:eastAsia="en-US"/>
        </w:rPr>
        <w:t xml:space="preserve">IPs' </w:t>
      </w:r>
      <w:r>
        <w:rPr>
          <w:rFonts w:eastAsiaTheme="minorHAnsi"/>
          <w:lang w:eastAsia="en-US"/>
        </w:rPr>
        <w:t xml:space="preserve">rights. </w:t>
      </w:r>
    </w:p>
    <w:p w:rsidR="00755333" w:rsidRPr="000C37ED" w:rsidRDefault="00755333" w:rsidP="00D5203A">
      <w:pPr>
        <w:pStyle w:val="Bullet2"/>
        <w:tabs>
          <w:tab w:val="clear" w:pos="1418"/>
          <w:tab w:val="num" w:pos="2138"/>
        </w:tabs>
        <w:ind w:left="2138"/>
      </w:pPr>
      <w:r w:rsidRPr="000C37ED">
        <w:t xml:space="preserve">The </w:t>
      </w:r>
      <w:r w:rsidR="0030592B">
        <w:t>Constitution</w:t>
      </w:r>
      <w:r>
        <w:t xml:space="preserve"> </w:t>
      </w:r>
      <w:r w:rsidRPr="00462184">
        <w:rPr>
          <w:rFonts w:eastAsiaTheme="minorHAnsi" w:cs="Arial"/>
          <w:lang w:eastAsia="en-US"/>
        </w:rPr>
        <w:t xml:space="preserve">provides a range of rights to </w:t>
      </w:r>
      <w:r w:rsidR="00D52C75">
        <w:rPr>
          <w:rFonts w:eastAsiaTheme="minorHAnsi" w:cs="Arial"/>
          <w:lang w:eastAsia="en-US"/>
        </w:rPr>
        <w:t>IPs</w:t>
      </w:r>
      <w:r w:rsidRPr="00462184">
        <w:rPr>
          <w:rFonts w:eastAsiaTheme="minorHAnsi" w:cs="Arial"/>
          <w:lang w:eastAsia="en-US"/>
        </w:rPr>
        <w:t>, including with respect to land</w:t>
      </w:r>
      <w:r w:rsidR="00A964F8">
        <w:rPr>
          <w:rFonts w:eastAsiaTheme="minorHAnsi" w:cs="Arial"/>
          <w:lang w:eastAsia="en-US"/>
        </w:rPr>
        <w:t>, including</w:t>
      </w:r>
      <w:r w:rsidRPr="00462184">
        <w:rPr>
          <w:rFonts w:eastAsiaTheme="minorHAnsi" w:cs="Arial"/>
          <w:lang w:eastAsia="en-US"/>
        </w:rPr>
        <w:t>:</w:t>
      </w:r>
    </w:p>
    <w:p w:rsidR="00755333" w:rsidRPr="00662CBB" w:rsidRDefault="00755333" w:rsidP="00D5203A">
      <w:pPr>
        <w:pStyle w:val="Bullet2"/>
        <w:tabs>
          <w:tab w:val="clear" w:pos="1418"/>
          <w:tab w:val="num" w:pos="2127"/>
        </w:tabs>
        <w:ind w:left="2847"/>
      </w:pPr>
      <w:r>
        <w:rPr>
          <w:lang w:val="en-US"/>
        </w:rPr>
        <w:lastRenderedPageBreak/>
        <w:t>Art</w:t>
      </w:r>
      <w:r w:rsidR="0022330A">
        <w:rPr>
          <w:lang w:val="en-US"/>
        </w:rPr>
        <w:t>icle</w:t>
      </w:r>
      <w:r>
        <w:rPr>
          <w:lang w:val="en-US"/>
        </w:rPr>
        <w:t xml:space="preserve"> II, s</w:t>
      </w:r>
      <w:r w:rsidR="0022330A">
        <w:rPr>
          <w:lang w:val="en-US"/>
        </w:rPr>
        <w:t>ection</w:t>
      </w:r>
      <w:r>
        <w:rPr>
          <w:lang w:val="en-US"/>
        </w:rPr>
        <w:t xml:space="preserve"> </w:t>
      </w:r>
      <w:r w:rsidRPr="00662CBB">
        <w:rPr>
          <w:lang w:val="en-US"/>
        </w:rPr>
        <w:t xml:space="preserve">22 </w:t>
      </w:r>
      <w:r w:rsidR="00A964F8">
        <w:rPr>
          <w:lang w:val="en-US"/>
        </w:rPr>
        <w:t xml:space="preserve">which </w:t>
      </w:r>
      <w:r w:rsidRPr="00662CBB">
        <w:rPr>
          <w:lang w:val="en-US"/>
        </w:rPr>
        <w:t xml:space="preserve">provides that '[t]he State </w:t>
      </w:r>
      <w:proofErr w:type="spellStart"/>
      <w:r w:rsidR="000A5AC0">
        <w:rPr>
          <w:lang w:val="en-US"/>
        </w:rPr>
        <w:t>recognise</w:t>
      </w:r>
      <w:r w:rsidRPr="00662CBB">
        <w:rPr>
          <w:lang w:val="en-US"/>
        </w:rPr>
        <w:t>s</w:t>
      </w:r>
      <w:proofErr w:type="spellEnd"/>
      <w:r w:rsidRPr="00662CBB">
        <w:rPr>
          <w:lang w:val="en-US"/>
        </w:rPr>
        <w:t xml:space="preserve"> and promotes the rights of </w:t>
      </w:r>
      <w:r w:rsidR="005B7220">
        <w:rPr>
          <w:lang w:val="en-US"/>
        </w:rPr>
        <w:t xml:space="preserve">ICCs </w:t>
      </w:r>
      <w:r w:rsidRPr="00662CBB">
        <w:rPr>
          <w:lang w:val="en-US"/>
        </w:rPr>
        <w:t>within the framework of</w:t>
      </w:r>
      <w:r w:rsidR="00A964F8">
        <w:rPr>
          <w:lang w:val="en-US"/>
        </w:rPr>
        <w:t xml:space="preserve"> national unity and development';</w:t>
      </w:r>
    </w:p>
    <w:p w:rsidR="00755333" w:rsidRPr="00662CBB" w:rsidRDefault="00755333" w:rsidP="00D5203A">
      <w:pPr>
        <w:pStyle w:val="Bullet2"/>
        <w:tabs>
          <w:tab w:val="clear" w:pos="1418"/>
          <w:tab w:val="num" w:pos="2127"/>
        </w:tabs>
        <w:ind w:left="2847"/>
      </w:pPr>
      <w:r w:rsidRPr="00662CBB">
        <w:rPr>
          <w:rFonts w:eastAsiaTheme="minorHAnsi"/>
          <w:lang w:eastAsia="en-US"/>
        </w:rPr>
        <w:t>Art</w:t>
      </w:r>
      <w:r w:rsidR="0022330A">
        <w:rPr>
          <w:rFonts w:eastAsiaTheme="minorHAnsi"/>
          <w:lang w:eastAsia="en-US"/>
        </w:rPr>
        <w:t>icle</w:t>
      </w:r>
      <w:r w:rsidRPr="00662CBB">
        <w:rPr>
          <w:rFonts w:eastAsiaTheme="minorHAnsi"/>
          <w:lang w:eastAsia="en-US"/>
        </w:rPr>
        <w:t xml:space="preserve"> </w:t>
      </w:r>
      <w:r w:rsidRPr="00662CBB">
        <w:rPr>
          <w:lang w:val="en-US"/>
        </w:rPr>
        <w:t>XII, s</w:t>
      </w:r>
      <w:r w:rsidR="0022330A">
        <w:rPr>
          <w:lang w:val="en-US"/>
        </w:rPr>
        <w:t>ection</w:t>
      </w:r>
      <w:r w:rsidRPr="00662CBB">
        <w:rPr>
          <w:lang w:val="en-US"/>
        </w:rPr>
        <w:t xml:space="preserve"> 5 </w:t>
      </w:r>
      <w:r w:rsidR="00A964F8">
        <w:rPr>
          <w:lang w:val="en-US"/>
        </w:rPr>
        <w:t xml:space="preserve">which </w:t>
      </w:r>
      <w:r w:rsidRPr="00662CBB">
        <w:rPr>
          <w:lang w:val="en-US"/>
        </w:rPr>
        <w:t xml:space="preserve">provides that '[t]he State, subject to the provisions of this Constitution and national development policies and programs, shall protect the rights of </w:t>
      </w:r>
      <w:r w:rsidR="005B7220">
        <w:rPr>
          <w:lang w:val="en-US"/>
        </w:rPr>
        <w:t xml:space="preserve">ICCs </w:t>
      </w:r>
      <w:r w:rsidRPr="00662CBB">
        <w:rPr>
          <w:lang w:val="en-US"/>
        </w:rPr>
        <w:t>to their ancestral lands to ensure their economic, social, and cultural well-being. The Congress may provide for the applicability of customary laws governing property rights or relations in determining the ownership and extent of ancestral domain'</w:t>
      </w:r>
      <w:r w:rsidR="00A964F8">
        <w:rPr>
          <w:lang w:val="en-US"/>
        </w:rPr>
        <w:t>;</w:t>
      </w:r>
    </w:p>
    <w:p w:rsidR="00755333" w:rsidRPr="00662CBB" w:rsidRDefault="00755333" w:rsidP="00D5203A">
      <w:pPr>
        <w:pStyle w:val="Bullet2"/>
        <w:tabs>
          <w:tab w:val="clear" w:pos="1418"/>
          <w:tab w:val="num" w:pos="2127"/>
        </w:tabs>
        <w:ind w:left="2847"/>
      </w:pPr>
      <w:r w:rsidRPr="00662CBB">
        <w:rPr>
          <w:lang w:val="en-US"/>
        </w:rPr>
        <w:t>Art</w:t>
      </w:r>
      <w:r w:rsidR="0022330A">
        <w:rPr>
          <w:lang w:val="en-US"/>
        </w:rPr>
        <w:t>icle</w:t>
      </w:r>
      <w:r w:rsidRPr="00662CBB">
        <w:rPr>
          <w:lang w:val="en-US"/>
        </w:rPr>
        <w:t xml:space="preserve"> XIII, s</w:t>
      </w:r>
      <w:r w:rsidR="0022330A">
        <w:rPr>
          <w:lang w:val="en-US"/>
        </w:rPr>
        <w:t>ection</w:t>
      </w:r>
      <w:r w:rsidRPr="00662CBB">
        <w:rPr>
          <w:lang w:val="en-US"/>
        </w:rPr>
        <w:t xml:space="preserve"> 6 </w:t>
      </w:r>
      <w:r w:rsidR="00A964F8">
        <w:rPr>
          <w:lang w:val="en-US"/>
        </w:rPr>
        <w:t xml:space="preserve">which </w:t>
      </w:r>
      <w:r w:rsidRPr="00662CBB">
        <w:rPr>
          <w:lang w:val="en-US"/>
        </w:rPr>
        <w:t xml:space="preserve">provides that '[t]he State shall apply the principles of agrarian reform or stewardship, whenever applicable in accordance with law, in the disposition or utilization of other natural resources, including lands of the public domain under lease or concession suitable to agriculture, subject to prior rights, homestead rights of small settlers, and the rights of </w:t>
      </w:r>
      <w:r w:rsidR="005B7220">
        <w:rPr>
          <w:lang w:val="en-US"/>
        </w:rPr>
        <w:t xml:space="preserve">ICCs </w:t>
      </w:r>
      <w:r w:rsidRPr="00662CBB">
        <w:rPr>
          <w:lang w:val="en-US"/>
        </w:rPr>
        <w:t>to their ancestral lands. The State may resettle landless farmers and farmworkers in its own agricultural estates which shall be distributed to them in the manner provided by law</w:t>
      </w:r>
      <w:r w:rsidR="00A964F8">
        <w:rPr>
          <w:lang w:val="en-US"/>
        </w:rPr>
        <w:t>;</w:t>
      </w:r>
      <w:r w:rsidRPr="00662CBB">
        <w:rPr>
          <w:lang w:val="en-US"/>
        </w:rPr>
        <w:t>'</w:t>
      </w:r>
      <w:r w:rsidR="00A964F8">
        <w:rPr>
          <w:lang w:val="en-US"/>
        </w:rPr>
        <w:t xml:space="preserve"> and</w:t>
      </w:r>
    </w:p>
    <w:p w:rsidR="00755333" w:rsidRPr="00763491" w:rsidRDefault="00755333" w:rsidP="00D5203A">
      <w:pPr>
        <w:pStyle w:val="Bullet2"/>
        <w:tabs>
          <w:tab w:val="clear" w:pos="1418"/>
          <w:tab w:val="num" w:pos="2127"/>
        </w:tabs>
        <w:ind w:left="2847"/>
      </w:pPr>
      <w:r w:rsidRPr="00763491">
        <w:rPr>
          <w:rFonts w:eastAsiaTheme="minorHAnsi" w:cs="Arial"/>
          <w:lang w:eastAsia="en-US"/>
        </w:rPr>
        <w:t>Art</w:t>
      </w:r>
      <w:r w:rsidR="007417EE">
        <w:rPr>
          <w:rFonts w:eastAsiaTheme="minorHAnsi" w:cs="Arial"/>
          <w:lang w:eastAsia="en-US"/>
        </w:rPr>
        <w:t>icle</w:t>
      </w:r>
      <w:r w:rsidRPr="00763491">
        <w:rPr>
          <w:rFonts w:eastAsiaTheme="minorHAnsi" w:cs="Arial"/>
          <w:lang w:eastAsia="en-US"/>
        </w:rPr>
        <w:t xml:space="preserve"> X, s</w:t>
      </w:r>
      <w:r w:rsidR="007417EE">
        <w:rPr>
          <w:rFonts w:eastAsiaTheme="minorHAnsi" w:cs="Arial"/>
          <w:lang w:eastAsia="en-US"/>
        </w:rPr>
        <w:t>ection</w:t>
      </w:r>
      <w:r w:rsidRPr="00763491">
        <w:rPr>
          <w:rFonts w:eastAsiaTheme="minorHAnsi" w:cs="Arial"/>
          <w:lang w:eastAsia="en-US"/>
        </w:rPr>
        <w:t xml:space="preserve"> </w:t>
      </w:r>
      <w:r w:rsidRPr="00763491">
        <w:rPr>
          <w:lang w:val="en-US"/>
        </w:rPr>
        <w:t xml:space="preserve">15 </w:t>
      </w:r>
      <w:r w:rsidR="00A964F8">
        <w:rPr>
          <w:lang w:val="en-US"/>
        </w:rPr>
        <w:t xml:space="preserve">which </w:t>
      </w:r>
      <w:r w:rsidRPr="00763491">
        <w:rPr>
          <w:lang w:val="en-US"/>
        </w:rPr>
        <w:t xml:space="preserve">creates autonomous regions in Muslim Mindanao and in the Cordilleras for areas 'sharing common and distinctive historical and cultural heritage, economic and social structures, and other relevant characteristics'. As both of these areas have majority populations of </w:t>
      </w:r>
      <w:r w:rsidR="00D52C75">
        <w:rPr>
          <w:lang w:val="en-US"/>
        </w:rPr>
        <w:t>IPs</w:t>
      </w:r>
      <w:r w:rsidRPr="00763491">
        <w:rPr>
          <w:lang w:val="en-US"/>
        </w:rPr>
        <w:t>, this can be seen to provide some degree of recognition to these populations</w:t>
      </w:r>
      <w:r w:rsidR="00D52C75">
        <w:rPr>
          <w:lang w:val="en-US"/>
        </w:rPr>
        <w:t>.</w:t>
      </w:r>
    </w:p>
    <w:p w:rsidR="009248E2" w:rsidRPr="00763491" w:rsidRDefault="009248E2" w:rsidP="00755333">
      <w:pPr>
        <w:pStyle w:val="AllensHeading3"/>
        <w:rPr>
          <w:rFonts w:eastAsiaTheme="minorHAnsi"/>
          <w:lang w:eastAsia="en-US"/>
        </w:rPr>
      </w:pPr>
      <w:r w:rsidRPr="00763491">
        <w:rPr>
          <w:rFonts w:eastAsiaTheme="minorHAnsi"/>
          <w:b/>
          <w:lang w:val="en-US" w:eastAsia="en-US"/>
        </w:rPr>
        <w:t>What are</w:t>
      </w:r>
      <w:r w:rsidR="00755333" w:rsidRPr="00763491">
        <w:rPr>
          <w:rFonts w:eastAsiaTheme="minorHAnsi"/>
          <w:b/>
          <w:lang w:val="en-US" w:eastAsia="en-US"/>
        </w:rPr>
        <w:t xml:space="preserve"> the sources of customary rules, and what are the customary rules governing housing, land and property?</w:t>
      </w:r>
    </w:p>
    <w:p w:rsidR="00677FC9" w:rsidRDefault="00755333" w:rsidP="0045331E">
      <w:pPr>
        <w:pStyle w:val="AllensHeading3"/>
        <w:numPr>
          <w:ilvl w:val="0"/>
          <w:numId w:val="0"/>
        </w:numPr>
        <w:ind w:left="1418"/>
        <w:rPr>
          <w:rFonts w:eastAsiaTheme="minorHAnsi"/>
          <w:lang w:eastAsia="en-US"/>
        </w:rPr>
      </w:pPr>
      <w:r w:rsidRPr="00763491">
        <w:rPr>
          <w:rFonts w:eastAsiaTheme="minorHAnsi"/>
          <w:lang w:eastAsia="en-US"/>
        </w:rPr>
        <w:t xml:space="preserve">Many </w:t>
      </w:r>
      <w:r w:rsidR="005B7220">
        <w:rPr>
          <w:rFonts w:eastAsiaTheme="minorHAnsi"/>
          <w:lang w:eastAsia="en-US"/>
        </w:rPr>
        <w:t>i</w:t>
      </w:r>
      <w:r w:rsidRPr="00763491">
        <w:rPr>
          <w:rFonts w:eastAsiaTheme="minorHAnsi"/>
          <w:lang w:eastAsia="en-US"/>
        </w:rPr>
        <w:t>ndigenous groups practice customary law in the Philippines, making it difficult to draw generalisations about the sources of customary law.</w:t>
      </w:r>
      <w:r w:rsidR="00FB44BD">
        <w:rPr>
          <w:rFonts w:eastAsiaTheme="minorHAnsi"/>
          <w:lang w:eastAsia="en-US"/>
        </w:rPr>
        <w:t xml:space="preserve"> </w:t>
      </w:r>
      <w:r w:rsidR="00865F17">
        <w:rPr>
          <w:rFonts w:eastAsiaTheme="minorHAnsi"/>
          <w:lang w:eastAsia="en-US"/>
        </w:rPr>
        <w:t>According to the Unit</w:t>
      </w:r>
      <w:r w:rsidR="006A3EBE">
        <w:rPr>
          <w:rFonts w:eastAsiaTheme="minorHAnsi"/>
          <w:lang w:eastAsia="en-US"/>
        </w:rPr>
        <w:t>ed Nations Development Fund, 33 per cent</w:t>
      </w:r>
      <w:r w:rsidR="00865F17">
        <w:rPr>
          <w:rFonts w:eastAsiaTheme="minorHAnsi"/>
          <w:lang w:eastAsia="en-US"/>
        </w:rPr>
        <w:t xml:space="preserve"> of the total indigenous population lives in the Cordillera Administrative Region in northern Luzon, and 61</w:t>
      </w:r>
      <w:r w:rsidR="006A3EBE">
        <w:rPr>
          <w:rFonts w:eastAsiaTheme="minorHAnsi"/>
          <w:lang w:eastAsia="en-US"/>
        </w:rPr>
        <w:t xml:space="preserve"> per cent</w:t>
      </w:r>
      <w:r w:rsidR="00865F17">
        <w:rPr>
          <w:rFonts w:eastAsiaTheme="minorHAnsi"/>
          <w:lang w:eastAsia="en-US"/>
        </w:rPr>
        <w:t xml:space="preserve"> of the indigenous population lives in Mindanao.</w:t>
      </w:r>
      <w:bookmarkStart w:id="36" w:name="_Ref504462736"/>
      <w:r w:rsidR="00865F17">
        <w:rPr>
          <w:rStyle w:val="FootnoteReference"/>
          <w:rFonts w:eastAsiaTheme="minorHAnsi"/>
          <w:lang w:eastAsia="en-US"/>
        </w:rPr>
        <w:footnoteReference w:id="71"/>
      </w:r>
      <w:bookmarkEnd w:id="36"/>
      <w:r w:rsidR="00865F17">
        <w:rPr>
          <w:rFonts w:eastAsiaTheme="minorHAnsi"/>
          <w:lang w:eastAsia="en-US"/>
        </w:rPr>
        <w:t xml:space="preserve"> </w:t>
      </w:r>
      <w:r w:rsidR="0045331E">
        <w:rPr>
          <w:rFonts w:eastAsiaTheme="minorHAnsi"/>
          <w:lang w:eastAsia="en-US"/>
        </w:rPr>
        <w:t>The m</w:t>
      </w:r>
      <w:r w:rsidR="00677FC9">
        <w:rPr>
          <w:rFonts w:eastAsiaTheme="minorHAnsi"/>
          <w:lang w:eastAsia="en-US"/>
        </w:rPr>
        <w:t xml:space="preserve">ap </w:t>
      </w:r>
      <w:r w:rsidR="00C67FE3">
        <w:rPr>
          <w:rFonts w:eastAsiaTheme="minorHAnsi"/>
          <w:lang w:eastAsia="en-US"/>
        </w:rPr>
        <w:t xml:space="preserve">below </w:t>
      </w:r>
      <w:r w:rsidR="00677FC9">
        <w:rPr>
          <w:rFonts w:eastAsiaTheme="minorHAnsi"/>
          <w:lang w:eastAsia="en-US"/>
        </w:rPr>
        <w:t>shows the location of</w:t>
      </w:r>
      <w:r w:rsidR="00865F17">
        <w:rPr>
          <w:rFonts w:eastAsiaTheme="minorHAnsi"/>
          <w:lang w:eastAsia="en-US"/>
        </w:rPr>
        <w:t xml:space="preserve"> IPs in the Philippines.</w:t>
      </w:r>
    </w:p>
    <w:p w:rsidR="00677FC9" w:rsidRDefault="00677FC9" w:rsidP="00F226A5">
      <w:pPr>
        <w:pStyle w:val="AllensHeading3"/>
        <w:numPr>
          <w:ilvl w:val="0"/>
          <w:numId w:val="0"/>
        </w:numPr>
        <w:ind w:left="1418"/>
        <w:rPr>
          <w:rFonts w:eastAsiaTheme="minorHAnsi"/>
          <w:lang w:eastAsia="en-US"/>
        </w:rPr>
      </w:pPr>
      <w:r>
        <w:rPr>
          <w:noProof/>
          <w:lang w:val="es-EC" w:eastAsia="es-EC"/>
        </w:rPr>
        <w:lastRenderedPageBreak/>
        <w:drawing>
          <wp:inline distT="0" distB="0" distL="0" distR="0" wp14:anchorId="38DEA5AD" wp14:editId="5086A51B">
            <wp:extent cx="4800600" cy="552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800600" cy="5524500"/>
                    </a:xfrm>
                    <a:prstGeom prst="rect">
                      <a:avLst/>
                    </a:prstGeom>
                  </pic:spPr>
                </pic:pic>
              </a:graphicData>
            </a:graphic>
          </wp:inline>
        </w:drawing>
      </w:r>
    </w:p>
    <w:p w:rsidR="0045331E" w:rsidRPr="0045331E" w:rsidRDefault="0045331E" w:rsidP="00F226A5">
      <w:pPr>
        <w:pStyle w:val="AllensHeading3"/>
        <w:numPr>
          <w:ilvl w:val="0"/>
          <w:numId w:val="0"/>
        </w:numPr>
        <w:ind w:left="1418"/>
        <w:rPr>
          <w:rFonts w:eastAsiaTheme="minorHAnsi"/>
          <w:sz w:val="18"/>
          <w:szCs w:val="18"/>
          <w:lang w:eastAsia="en-US"/>
        </w:rPr>
      </w:pPr>
      <w:r w:rsidRPr="0045331E">
        <w:rPr>
          <w:rFonts w:eastAsiaTheme="minorHAnsi"/>
          <w:sz w:val="18"/>
          <w:szCs w:val="18"/>
          <w:lang w:eastAsia="en-US"/>
        </w:rPr>
        <w:t>Source:</w:t>
      </w:r>
      <w:r w:rsidRPr="0045331E">
        <w:rPr>
          <w:rFonts w:eastAsiaTheme="minorHAnsi"/>
          <w:b/>
          <w:sz w:val="18"/>
          <w:szCs w:val="18"/>
          <w:lang w:eastAsia="en-US"/>
        </w:rPr>
        <w:t xml:space="preserve"> </w:t>
      </w:r>
      <w:r w:rsidRPr="0045331E">
        <w:rPr>
          <w:rFonts w:eastAsiaTheme="minorHAnsi"/>
          <w:sz w:val="18"/>
          <w:szCs w:val="18"/>
          <w:lang w:eastAsia="en-US"/>
        </w:rPr>
        <w:t xml:space="preserve">International Work Group for Indigenous Affairs, </w:t>
      </w:r>
      <w:r w:rsidRPr="0045331E">
        <w:rPr>
          <w:rFonts w:eastAsiaTheme="minorHAnsi"/>
          <w:i/>
          <w:sz w:val="18"/>
          <w:szCs w:val="18"/>
          <w:lang w:eastAsia="en-US"/>
        </w:rPr>
        <w:t>Indigenous Peoples in the Philippines: 2016 Yearbook Article</w:t>
      </w:r>
      <w:r w:rsidRPr="0045331E">
        <w:rPr>
          <w:rFonts w:eastAsiaTheme="minorHAnsi"/>
          <w:sz w:val="18"/>
          <w:szCs w:val="18"/>
          <w:lang w:eastAsia="en-US"/>
        </w:rPr>
        <w:t xml:space="preserve">, p 253. </w:t>
      </w:r>
    </w:p>
    <w:p w:rsidR="00755333" w:rsidRPr="00662CBB" w:rsidRDefault="0045331E" w:rsidP="00C16513">
      <w:pPr>
        <w:pStyle w:val="AllensHeading3"/>
        <w:numPr>
          <w:ilvl w:val="0"/>
          <w:numId w:val="0"/>
        </w:numPr>
        <w:ind w:left="1418"/>
        <w:rPr>
          <w:rFonts w:eastAsiaTheme="minorHAnsi"/>
          <w:lang w:eastAsia="en-US"/>
        </w:rPr>
      </w:pPr>
      <w:r>
        <w:rPr>
          <w:rFonts w:eastAsiaTheme="minorHAnsi"/>
          <w:lang w:eastAsia="en-US"/>
        </w:rPr>
        <w:t>T</w:t>
      </w:r>
      <w:r w:rsidRPr="00763491">
        <w:rPr>
          <w:rFonts w:eastAsiaTheme="minorHAnsi"/>
          <w:lang w:eastAsia="en-US"/>
        </w:rPr>
        <w:t xml:space="preserve">his section refers to the </w:t>
      </w:r>
      <w:r w:rsidRPr="00662CBB">
        <w:rPr>
          <w:rFonts w:eastAsiaTheme="minorHAnsi"/>
          <w:lang w:eastAsia="en-US"/>
        </w:rPr>
        <w:t xml:space="preserve">practices of the Cordillera peoples, </w:t>
      </w:r>
      <w:r w:rsidR="00A22259">
        <w:rPr>
          <w:rFonts w:eastAsiaTheme="minorHAnsi"/>
          <w:lang w:eastAsia="en-US"/>
        </w:rPr>
        <w:t xml:space="preserve">comprising </w:t>
      </w:r>
      <w:r w:rsidRPr="00662CBB">
        <w:rPr>
          <w:rFonts w:eastAsiaTheme="minorHAnsi"/>
          <w:lang w:eastAsia="en-US"/>
        </w:rPr>
        <w:t xml:space="preserve">approximately 1.2 million </w:t>
      </w:r>
      <w:r>
        <w:rPr>
          <w:rFonts w:eastAsiaTheme="minorHAnsi"/>
          <w:lang w:eastAsia="en-US"/>
        </w:rPr>
        <w:t xml:space="preserve">IPs </w:t>
      </w:r>
      <w:r w:rsidRPr="00662CBB">
        <w:rPr>
          <w:rFonts w:eastAsiaTheme="minorHAnsi"/>
          <w:iCs/>
          <w:lang w:eastAsia="en-US"/>
        </w:rPr>
        <w:t xml:space="preserve">living in </w:t>
      </w:r>
      <w:r w:rsidR="00A22259">
        <w:rPr>
          <w:rFonts w:eastAsiaTheme="minorHAnsi"/>
          <w:lang w:eastAsia="en-US"/>
        </w:rPr>
        <w:t xml:space="preserve">six different provinces: Mountain Province, Kalinga, </w:t>
      </w:r>
      <w:proofErr w:type="spellStart"/>
      <w:r w:rsidR="00A22259">
        <w:rPr>
          <w:rFonts w:eastAsiaTheme="minorHAnsi"/>
          <w:lang w:eastAsia="en-US"/>
        </w:rPr>
        <w:t>Apayao</w:t>
      </w:r>
      <w:proofErr w:type="spellEnd"/>
      <w:r w:rsidR="00A22259">
        <w:rPr>
          <w:rFonts w:eastAsiaTheme="minorHAnsi"/>
          <w:lang w:eastAsia="en-US"/>
        </w:rPr>
        <w:t xml:space="preserve">, </w:t>
      </w:r>
      <w:proofErr w:type="spellStart"/>
      <w:r w:rsidR="00A22259">
        <w:rPr>
          <w:rFonts w:eastAsiaTheme="minorHAnsi"/>
          <w:lang w:eastAsia="en-US"/>
        </w:rPr>
        <w:t>Beguet</w:t>
      </w:r>
      <w:proofErr w:type="spellEnd"/>
      <w:r w:rsidR="00A22259">
        <w:rPr>
          <w:rFonts w:eastAsiaTheme="minorHAnsi"/>
          <w:lang w:eastAsia="en-US"/>
        </w:rPr>
        <w:t xml:space="preserve">, </w:t>
      </w:r>
      <w:proofErr w:type="spellStart"/>
      <w:r w:rsidR="00A22259">
        <w:rPr>
          <w:rFonts w:eastAsiaTheme="minorHAnsi"/>
          <w:lang w:eastAsia="en-US"/>
        </w:rPr>
        <w:t>Abra</w:t>
      </w:r>
      <w:proofErr w:type="spellEnd"/>
      <w:r w:rsidR="00A22259">
        <w:rPr>
          <w:rFonts w:eastAsiaTheme="minorHAnsi"/>
          <w:lang w:eastAsia="en-US"/>
        </w:rPr>
        <w:t xml:space="preserve"> and </w:t>
      </w:r>
      <w:proofErr w:type="spellStart"/>
      <w:r w:rsidR="00A22259">
        <w:rPr>
          <w:rFonts w:eastAsiaTheme="minorHAnsi"/>
          <w:lang w:eastAsia="en-US"/>
        </w:rPr>
        <w:t>Ifugao</w:t>
      </w:r>
      <w:proofErr w:type="spellEnd"/>
      <w:r w:rsidR="00A22259">
        <w:rPr>
          <w:rFonts w:eastAsiaTheme="minorHAnsi"/>
          <w:lang w:eastAsia="en-US"/>
        </w:rPr>
        <w:t>.</w:t>
      </w:r>
      <w:r w:rsidR="00C16513">
        <w:rPr>
          <w:rStyle w:val="FootnoteReference"/>
          <w:rFonts w:eastAsiaTheme="minorHAnsi"/>
          <w:lang w:eastAsia="en-US"/>
        </w:rPr>
        <w:footnoteReference w:id="72"/>
      </w:r>
      <w:r w:rsidR="00C16513">
        <w:rPr>
          <w:rFonts w:eastAsiaTheme="minorHAnsi"/>
          <w:lang w:eastAsia="en-US"/>
        </w:rPr>
        <w:t xml:space="preserve"> </w:t>
      </w:r>
      <w:r w:rsidR="00755333" w:rsidRPr="00662CBB">
        <w:rPr>
          <w:rFonts w:eastAsiaTheme="minorHAnsi"/>
          <w:lang w:eastAsia="en-US"/>
        </w:rPr>
        <w:t>Customary law for the Cordillera people</w:t>
      </w:r>
      <w:r w:rsidR="002A7618">
        <w:rPr>
          <w:rFonts w:eastAsiaTheme="minorHAnsi"/>
          <w:lang w:eastAsia="en-US"/>
        </w:rPr>
        <w:t>s</w:t>
      </w:r>
      <w:r w:rsidR="00755333" w:rsidRPr="00662CBB">
        <w:rPr>
          <w:rFonts w:eastAsiaTheme="minorHAnsi"/>
          <w:lang w:eastAsia="en-US"/>
        </w:rPr>
        <w:t xml:space="preserve"> is passed down orally and administered by a Council of Elders, known a</w:t>
      </w:r>
      <w:r w:rsidR="00BA702D">
        <w:rPr>
          <w:rFonts w:eastAsiaTheme="minorHAnsi"/>
          <w:lang w:eastAsia="en-US"/>
        </w:rPr>
        <w:t>s</w:t>
      </w:r>
      <w:r w:rsidR="00755333" w:rsidRPr="00662CBB">
        <w:rPr>
          <w:rFonts w:eastAsiaTheme="minorHAnsi"/>
          <w:lang w:eastAsia="en-US"/>
        </w:rPr>
        <w:t xml:space="preserve"> the </w:t>
      </w:r>
      <w:proofErr w:type="spellStart"/>
      <w:r w:rsidR="00755333" w:rsidRPr="00662CBB">
        <w:rPr>
          <w:rFonts w:eastAsiaTheme="minorHAnsi"/>
          <w:iCs/>
          <w:lang w:eastAsia="en-US"/>
        </w:rPr>
        <w:t>Lallakay</w:t>
      </w:r>
      <w:proofErr w:type="spellEnd"/>
      <w:r w:rsidR="00755333" w:rsidRPr="00662CBB">
        <w:rPr>
          <w:rFonts w:eastAsiaTheme="minorHAnsi"/>
          <w:iCs/>
          <w:lang w:eastAsia="en-US"/>
        </w:rPr>
        <w:t>/</w:t>
      </w:r>
      <w:proofErr w:type="spellStart"/>
      <w:r w:rsidR="00755333" w:rsidRPr="00662CBB">
        <w:rPr>
          <w:rFonts w:eastAsiaTheme="minorHAnsi"/>
          <w:iCs/>
          <w:lang w:eastAsia="en-US"/>
        </w:rPr>
        <w:t>Amam</w:t>
      </w:r>
      <w:proofErr w:type="spellEnd"/>
      <w:r w:rsidR="00755333" w:rsidRPr="00662CBB">
        <w:rPr>
          <w:rFonts w:eastAsiaTheme="minorHAnsi"/>
          <w:iCs/>
          <w:lang w:eastAsia="en-US"/>
        </w:rPr>
        <w:t xml:space="preserve">-a, membership of which is partly based on wisdom. </w:t>
      </w:r>
      <w:r w:rsidR="00755333" w:rsidRPr="00662CBB">
        <w:rPr>
          <w:rFonts w:eastAsiaTheme="minorHAnsi"/>
          <w:lang w:eastAsia="en-US"/>
        </w:rPr>
        <w:t>The Council of Elders</w:t>
      </w:r>
      <w:r w:rsidR="00662CBB" w:rsidRPr="00662CBB">
        <w:rPr>
          <w:rFonts w:eastAsiaTheme="minorHAnsi"/>
          <w:lang w:eastAsia="en-US"/>
        </w:rPr>
        <w:t xml:space="preserve"> (</w:t>
      </w:r>
      <w:r w:rsidR="00662CBB" w:rsidRPr="007417EE">
        <w:rPr>
          <w:rFonts w:eastAsiaTheme="minorHAnsi"/>
          <w:lang w:eastAsia="en-US"/>
        </w:rPr>
        <w:t>the</w:t>
      </w:r>
      <w:r w:rsidR="00662CBB" w:rsidRPr="00662CBB">
        <w:rPr>
          <w:rFonts w:eastAsiaTheme="minorHAnsi"/>
          <w:b/>
          <w:lang w:eastAsia="en-US"/>
        </w:rPr>
        <w:t xml:space="preserve"> </w:t>
      </w:r>
      <w:r w:rsidR="00662CBB" w:rsidRPr="007417EE">
        <w:rPr>
          <w:rFonts w:eastAsiaTheme="minorHAnsi"/>
          <w:b/>
          <w:i/>
          <w:lang w:eastAsia="en-US"/>
        </w:rPr>
        <w:t>Council</w:t>
      </w:r>
      <w:r w:rsidR="00662CBB" w:rsidRPr="00662CBB">
        <w:rPr>
          <w:rFonts w:eastAsiaTheme="minorHAnsi"/>
          <w:lang w:eastAsia="en-US"/>
        </w:rPr>
        <w:t>)</w:t>
      </w:r>
      <w:r w:rsidR="00755333" w:rsidRPr="00662CBB">
        <w:rPr>
          <w:rFonts w:eastAsiaTheme="minorHAnsi"/>
          <w:lang w:eastAsia="en-US"/>
        </w:rPr>
        <w:t xml:space="preserve"> meets at the physical centre of governance, known as the </w:t>
      </w:r>
      <w:r w:rsidR="00755333" w:rsidRPr="00662CBB">
        <w:rPr>
          <w:rFonts w:eastAsiaTheme="minorHAnsi" w:cs="Arial"/>
          <w:iCs/>
          <w:lang w:eastAsia="en-US"/>
        </w:rPr>
        <w:t>Dap-ay/</w:t>
      </w:r>
      <w:proofErr w:type="spellStart"/>
      <w:r w:rsidR="00755333" w:rsidRPr="00662CBB">
        <w:rPr>
          <w:rFonts w:eastAsiaTheme="minorHAnsi" w:cs="Arial"/>
          <w:iCs/>
          <w:lang w:eastAsia="en-US"/>
        </w:rPr>
        <w:t>Abong</w:t>
      </w:r>
      <w:proofErr w:type="spellEnd"/>
      <w:r w:rsidR="00755333" w:rsidRPr="00662CBB">
        <w:rPr>
          <w:rFonts w:eastAsiaTheme="minorHAnsi" w:cs="Arial"/>
          <w:iCs/>
          <w:lang w:eastAsia="en-US"/>
        </w:rPr>
        <w:t xml:space="preserve">, to discuss matters concerning the community. </w:t>
      </w:r>
      <w:r w:rsidR="00755333" w:rsidRPr="00662CBB">
        <w:rPr>
          <w:rFonts w:eastAsiaTheme="minorHAnsi" w:cs="Arial"/>
          <w:lang w:eastAsia="en-US"/>
        </w:rPr>
        <w:t xml:space="preserve">The Council governs the </w:t>
      </w:r>
      <w:proofErr w:type="spellStart"/>
      <w:proofErr w:type="gramStart"/>
      <w:r w:rsidR="00755333" w:rsidRPr="00662CBB">
        <w:rPr>
          <w:rFonts w:eastAsiaTheme="minorHAnsi"/>
          <w:lang w:eastAsia="en-US"/>
        </w:rPr>
        <w:t>ili</w:t>
      </w:r>
      <w:proofErr w:type="spellEnd"/>
      <w:proofErr w:type="gramEnd"/>
      <w:r w:rsidR="00755333" w:rsidRPr="00662CBB">
        <w:rPr>
          <w:rFonts w:eastAsiaTheme="minorHAnsi"/>
          <w:lang w:eastAsia="en-US"/>
        </w:rPr>
        <w:t>, which is the 'communal territory of an indigenous settlement', the boundaries of which are defined by the peoples</w:t>
      </w:r>
      <w:r w:rsidR="002A7618">
        <w:rPr>
          <w:rFonts w:eastAsiaTheme="minorHAnsi"/>
          <w:lang w:eastAsia="en-US"/>
        </w:rPr>
        <w:t>'</w:t>
      </w:r>
      <w:r w:rsidR="00755333" w:rsidRPr="00662CBB">
        <w:rPr>
          <w:rFonts w:eastAsiaTheme="minorHAnsi"/>
          <w:lang w:eastAsia="en-US"/>
        </w:rPr>
        <w:t xml:space="preserve"> prior use and occupation and by geographical features like mountains.</w:t>
      </w:r>
      <w:bookmarkStart w:id="37" w:name="_Ref490637882"/>
      <w:r w:rsidR="00755333" w:rsidRPr="00662CBB">
        <w:rPr>
          <w:rStyle w:val="FootnoteReference"/>
          <w:rFonts w:eastAsiaTheme="minorHAnsi"/>
          <w:lang w:eastAsia="en-US"/>
        </w:rPr>
        <w:footnoteReference w:id="73"/>
      </w:r>
      <w:bookmarkEnd w:id="37"/>
    </w:p>
    <w:p w:rsidR="00755333" w:rsidRDefault="00755333" w:rsidP="00F226A5">
      <w:pPr>
        <w:pStyle w:val="AllensHeading3"/>
        <w:numPr>
          <w:ilvl w:val="0"/>
          <w:numId w:val="0"/>
        </w:numPr>
        <w:ind w:left="1418"/>
        <w:rPr>
          <w:rFonts w:eastAsiaTheme="minorHAnsi"/>
          <w:iCs/>
          <w:lang w:eastAsia="en-US"/>
        </w:rPr>
      </w:pPr>
      <w:r w:rsidRPr="00662CBB">
        <w:rPr>
          <w:rFonts w:eastAsiaTheme="minorHAnsi"/>
          <w:lang w:eastAsia="en-US"/>
        </w:rPr>
        <w:lastRenderedPageBreak/>
        <w:t>The Council, which is responsible for overseeing customary law, make</w:t>
      </w:r>
      <w:r w:rsidR="00B74180">
        <w:rPr>
          <w:rFonts w:eastAsiaTheme="minorHAnsi"/>
          <w:lang w:eastAsia="en-US"/>
        </w:rPr>
        <w:t>s</w:t>
      </w:r>
      <w:r w:rsidRPr="00662CBB">
        <w:rPr>
          <w:rFonts w:eastAsiaTheme="minorHAnsi"/>
          <w:lang w:eastAsia="en-US"/>
        </w:rPr>
        <w:t xml:space="preserve"> regulations about matters such as water pollution, regulation of fishing and land use and occupation. For example, the Cordillera people</w:t>
      </w:r>
      <w:r w:rsidR="002A7618">
        <w:rPr>
          <w:rFonts w:eastAsiaTheme="minorHAnsi"/>
          <w:lang w:eastAsia="en-US"/>
        </w:rPr>
        <w:t>s</w:t>
      </w:r>
      <w:r w:rsidRPr="00662CBB">
        <w:rPr>
          <w:rFonts w:eastAsiaTheme="minorHAnsi"/>
          <w:lang w:eastAsia="en-US"/>
        </w:rPr>
        <w:t xml:space="preserve"> recognise numerous types of property. The Council is also involved in a </w:t>
      </w:r>
      <w:proofErr w:type="spellStart"/>
      <w:r w:rsidRPr="00662CBB">
        <w:rPr>
          <w:rFonts w:eastAsiaTheme="minorHAnsi"/>
          <w:iCs/>
          <w:lang w:eastAsia="en-US"/>
        </w:rPr>
        <w:t>Bodong</w:t>
      </w:r>
      <w:proofErr w:type="spellEnd"/>
      <w:r w:rsidRPr="00662CBB">
        <w:rPr>
          <w:rFonts w:eastAsiaTheme="minorHAnsi"/>
          <w:iCs/>
          <w:lang w:eastAsia="en-US"/>
        </w:rPr>
        <w:t xml:space="preserve">, </w:t>
      </w:r>
      <w:r w:rsidR="00A22259">
        <w:rPr>
          <w:rFonts w:eastAsiaTheme="minorHAnsi"/>
          <w:iCs/>
          <w:lang w:eastAsia="en-US"/>
        </w:rPr>
        <w:t>which is akin to a form of arbitration system recognised as an effective way of settling matters between ethnic groups and tribes in Cordillera.</w:t>
      </w:r>
      <w:r>
        <w:rPr>
          <w:rStyle w:val="FootnoteReference"/>
          <w:rFonts w:eastAsiaTheme="minorHAnsi"/>
          <w:lang w:eastAsia="en-US"/>
        </w:rPr>
        <w:footnoteReference w:id="74"/>
      </w:r>
    </w:p>
    <w:p w:rsidR="00755333" w:rsidRDefault="00755333" w:rsidP="00F226A5">
      <w:pPr>
        <w:pStyle w:val="AllensHeading3"/>
        <w:numPr>
          <w:ilvl w:val="0"/>
          <w:numId w:val="0"/>
        </w:numPr>
        <w:ind w:left="1418"/>
        <w:rPr>
          <w:rFonts w:eastAsiaTheme="minorHAnsi"/>
          <w:lang w:eastAsia="en-US"/>
        </w:rPr>
      </w:pPr>
      <w:r w:rsidRPr="00662CBB">
        <w:rPr>
          <w:rFonts w:eastAsiaTheme="minorHAnsi"/>
          <w:iCs/>
          <w:lang w:eastAsia="en-US"/>
        </w:rPr>
        <w:t xml:space="preserve">The </w:t>
      </w:r>
      <w:proofErr w:type="spellStart"/>
      <w:proofErr w:type="gramStart"/>
      <w:r w:rsidR="007417EE">
        <w:rPr>
          <w:rFonts w:eastAsiaTheme="minorHAnsi"/>
          <w:iCs/>
          <w:lang w:eastAsia="en-US"/>
        </w:rPr>
        <w:t>i</w:t>
      </w:r>
      <w:r w:rsidRPr="00662CBB">
        <w:rPr>
          <w:rFonts w:eastAsiaTheme="minorHAnsi"/>
          <w:iCs/>
          <w:lang w:eastAsia="en-US"/>
        </w:rPr>
        <w:t>li</w:t>
      </w:r>
      <w:proofErr w:type="spellEnd"/>
      <w:proofErr w:type="gramEnd"/>
      <w:r w:rsidRPr="00662CBB">
        <w:rPr>
          <w:rFonts w:eastAsiaTheme="minorHAnsi"/>
          <w:iCs/>
          <w:lang w:eastAsia="en-US"/>
        </w:rPr>
        <w:t xml:space="preserve"> collectively owns communal properties including sacred grounds and lands for fishing and hunting. </w:t>
      </w:r>
      <w:r w:rsidRPr="00662CBB">
        <w:rPr>
          <w:rFonts w:eastAsiaTheme="minorHAnsi"/>
          <w:lang w:eastAsia="en-US"/>
        </w:rPr>
        <w:t>These</w:t>
      </w:r>
      <w:r>
        <w:rPr>
          <w:rFonts w:eastAsiaTheme="minorHAnsi"/>
          <w:lang w:eastAsia="en-US"/>
        </w:rPr>
        <w:t xml:space="preserve"> may </w:t>
      </w:r>
      <w:r w:rsidRPr="00662CBB">
        <w:rPr>
          <w:rFonts w:eastAsiaTheme="minorHAnsi"/>
          <w:lang w:eastAsia="en-US"/>
        </w:rPr>
        <w:t>be accessed by all member</w:t>
      </w:r>
      <w:r w:rsidR="00662CBB" w:rsidRPr="00662CBB">
        <w:rPr>
          <w:rFonts w:eastAsiaTheme="minorHAnsi"/>
          <w:lang w:eastAsia="en-US"/>
        </w:rPr>
        <w:t>s</w:t>
      </w:r>
      <w:r w:rsidRPr="00662CBB">
        <w:rPr>
          <w:rFonts w:eastAsiaTheme="minorHAnsi"/>
          <w:lang w:eastAsia="en-US"/>
        </w:rPr>
        <w:t xml:space="preserve"> of the community, provided that they do not abuse this right. There are also clan properties, which include farms and pasturelands, and are acquired as a result of</w:t>
      </w:r>
      <w:r w:rsidR="00EE3A10">
        <w:rPr>
          <w:rFonts w:eastAsiaTheme="minorHAnsi"/>
          <w:lang w:eastAsia="en-US"/>
        </w:rPr>
        <w:t xml:space="preserve"> </w:t>
      </w:r>
      <w:r w:rsidRPr="00662CBB">
        <w:rPr>
          <w:rFonts w:eastAsiaTheme="minorHAnsi"/>
          <w:lang w:eastAsia="en-US"/>
        </w:rPr>
        <w:t>occupation and usufruct rights. Finally, the Cordillera people</w:t>
      </w:r>
      <w:r w:rsidR="002A7618">
        <w:rPr>
          <w:rFonts w:eastAsiaTheme="minorHAnsi"/>
          <w:lang w:eastAsia="en-US"/>
        </w:rPr>
        <w:t>s</w:t>
      </w:r>
      <w:r w:rsidRPr="00662CBB">
        <w:rPr>
          <w:rFonts w:eastAsiaTheme="minorHAnsi"/>
          <w:lang w:eastAsia="en-US"/>
        </w:rPr>
        <w:t xml:space="preserve"> recognise private properties such as homes and gardens, which are able to be inherited, with it 'often being the case that the most productive land is reserved for the family's eldest son'.</w:t>
      </w:r>
      <w:r w:rsidRPr="00662CBB">
        <w:rPr>
          <w:rStyle w:val="FootnoteReference"/>
          <w:rFonts w:eastAsiaTheme="minorHAnsi"/>
          <w:lang w:eastAsia="en-US"/>
        </w:rPr>
        <w:footnoteReference w:id="75"/>
      </w:r>
      <w:r w:rsidRPr="00662CBB">
        <w:rPr>
          <w:rFonts w:eastAsiaTheme="minorHAnsi"/>
          <w:lang w:eastAsia="en-US"/>
        </w:rPr>
        <w:t xml:space="preserve"> There are some circumstances in which a private property may be sold, although the reason must generally be that there is</w:t>
      </w:r>
      <w:r w:rsidR="00662CBB" w:rsidRPr="00662CBB">
        <w:rPr>
          <w:rFonts w:eastAsiaTheme="minorHAnsi"/>
          <w:lang w:eastAsia="en-US"/>
        </w:rPr>
        <w:t xml:space="preserve"> an</w:t>
      </w:r>
      <w:r w:rsidRPr="00662CBB">
        <w:rPr>
          <w:rFonts w:eastAsiaTheme="minorHAnsi"/>
          <w:lang w:eastAsia="en-US"/>
        </w:rPr>
        <w:t xml:space="preserve"> 'extreme need or an emergency'.</w:t>
      </w:r>
      <w:r w:rsidRPr="00662CBB">
        <w:rPr>
          <w:rStyle w:val="FootnoteReference"/>
          <w:rFonts w:eastAsiaTheme="minorHAnsi"/>
          <w:lang w:eastAsia="en-US"/>
        </w:rPr>
        <w:footnoteReference w:id="76"/>
      </w:r>
      <w:r w:rsidRPr="00662CBB">
        <w:rPr>
          <w:rFonts w:eastAsiaTheme="minorHAnsi"/>
          <w:lang w:eastAsia="en-US"/>
        </w:rPr>
        <w:t xml:space="preserve"> Where a community</w:t>
      </w:r>
      <w:r>
        <w:rPr>
          <w:rFonts w:eastAsiaTheme="minorHAnsi"/>
          <w:lang w:eastAsia="en-US"/>
        </w:rPr>
        <w:t xml:space="preserve"> member suffers harm, the Cordillera people</w:t>
      </w:r>
      <w:r w:rsidR="002A7618">
        <w:rPr>
          <w:rFonts w:eastAsiaTheme="minorHAnsi"/>
          <w:lang w:eastAsia="en-US"/>
        </w:rPr>
        <w:t>s</w:t>
      </w:r>
      <w:r>
        <w:rPr>
          <w:rFonts w:eastAsiaTheme="minorHAnsi"/>
          <w:lang w:eastAsia="en-US"/>
        </w:rPr>
        <w:t xml:space="preserve"> acknowledge that a property may be given to the community as compensation.</w:t>
      </w:r>
      <w:r>
        <w:rPr>
          <w:rStyle w:val="FootnoteReference"/>
          <w:rFonts w:eastAsiaTheme="minorHAnsi"/>
          <w:lang w:eastAsia="en-US"/>
        </w:rPr>
        <w:footnoteReference w:id="77"/>
      </w:r>
    </w:p>
    <w:p w:rsidR="00755333" w:rsidRPr="00662CBB" w:rsidRDefault="00755333" w:rsidP="00F226A5">
      <w:pPr>
        <w:pStyle w:val="AllensHeading3"/>
        <w:numPr>
          <w:ilvl w:val="0"/>
          <w:numId w:val="0"/>
        </w:numPr>
        <w:ind w:left="1418"/>
        <w:rPr>
          <w:rFonts w:eastAsiaTheme="minorHAnsi"/>
          <w:lang w:eastAsia="en-US"/>
        </w:rPr>
      </w:pPr>
      <w:r>
        <w:rPr>
          <w:rFonts w:eastAsiaTheme="minorHAnsi"/>
          <w:lang w:eastAsia="en-US"/>
        </w:rPr>
        <w:t>Acquisition of land</w:t>
      </w:r>
      <w:r w:rsidRPr="00662CBB">
        <w:rPr>
          <w:rFonts w:eastAsiaTheme="minorHAnsi"/>
          <w:lang w:eastAsia="en-US"/>
        </w:rPr>
        <w:t xml:space="preserve">, according to tribes such as the </w:t>
      </w:r>
      <w:r w:rsidR="00C67FE3">
        <w:rPr>
          <w:rFonts w:eastAsiaTheme="minorHAnsi"/>
          <w:iCs/>
          <w:lang w:eastAsia="en-US"/>
        </w:rPr>
        <w:t xml:space="preserve">people from </w:t>
      </w:r>
      <w:proofErr w:type="spellStart"/>
      <w:r w:rsidR="00C67FE3">
        <w:rPr>
          <w:rFonts w:eastAsiaTheme="minorHAnsi"/>
          <w:iCs/>
          <w:lang w:eastAsia="en-US"/>
        </w:rPr>
        <w:t>Bontoc</w:t>
      </w:r>
      <w:proofErr w:type="spellEnd"/>
      <w:r w:rsidR="00C67FE3">
        <w:rPr>
          <w:rFonts w:eastAsiaTheme="minorHAnsi"/>
          <w:iCs/>
          <w:lang w:eastAsia="en-US"/>
        </w:rPr>
        <w:t>,</w:t>
      </w:r>
      <w:r w:rsidRPr="00662CBB">
        <w:rPr>
          <w:rFonts w:eastAsiaTheme="minorHAnsi"/>
          <w:iCs/>
          <w:lang w:eastAsia="en-US"/>
        </w:rPr>
        <w:t xml:space="preserve"> </w:t>
      </w:r>
      <w:proofErr w:type="spellStart"/>
      <w:r w:rsidRPr="00662CBB">
        <w:rPr>
          <w:rFonts w:eastAsiaTheme="minorHAnsi"/>
          <w:iCs/>
          <w:lang w:eastAsia="en-US"/>
        </w:rPr>
        <w:t>Ifugao</w:t>
      </w:r>
      <w:proofErr w:type="spellEnd"/>
      <w:r w:rsidRPr="00662CBB">
        <w:rPr>
          <w:rFonts w:eastAsiaTheme="minorHAnsi"/>
          <w:iCs/>
          <w:lang w:eastAsia="en-US"/>
        </w:rPr>
        <w:t xml:space="preserve">, </w:t>
      </w:r>
      <w:proofErr w:type="spellStart"/>
      <w:r w:rsidRPr="00662CBB">
        <w:rPr>
          <w:rFonts w:eastAsiaTheme="minorHAnsi"/>
          <w:iCs/>
          <w:lang w:eastAsia="en-US"/>
        </w:rPr>
        <w:t>Kankanaey</w:t>
      </w:r>
      <w:proofErr w:type="spellEnd"/>
      <w:r w:rsidRPr="00662CBB">
        <w:rPr>
          <w:rFonts w:eastAsiaTheme="minorHAnsi"/>
          <w:iCs/>
          <w:lang w:eastAsia="en-US"/>
        </w:rPr>
        <w:t xml:space="preserve">, Kalinga, </w:t>
      </w:r>
      <w:r w:rsidRPr="00662CBB">
        <w:rPr>
          <w:rFonts w:eastAsiaTheme="minorHAnsi"/>
          <w:lang w:eastAsia="en-US"/>
        </w:rPr>
        <w:t>and other tribes in the Cordillera, is 'primarily a matter of occupying and then cultivating an area cleared of forest growth' and '[t]he first occupant to build a terrace on a site is considered its owner.'</w:t>
      </w:r>
      <w:r w:rsidRPr="00662CBB">
        <w:rPr>
          <w:rStyle w:val="FootnoteReference"/>
          <w:rFonts w:eastAsiaTheme="minorHAnsi"/>
          <w:lang w:eastAsia="en-US"/>
        </w:rPr>
        <w:footnoteReference w:id="78"/>
      </w:r>
    </w:p>
    <w:p w:rsidR="007417EE" w:rsidRDefault="00755333" w:rsidP="00F226A5">
      <w:pPr>
        <w:pStyle w:val="AllensHeading3"/>
        <w:numPr>
          <w:ilvl w:val="0"/>
          <w:numId w:val="0"/>
        </w:numPr>
        <w:ind w:left="1418"/>
      </w:pPr>
      <w:r w:rsidRPr="00662CBB">
        <w:t>Furthermore, although customary laws vary depending on the area of the country in which they are practised, they 'generally grant men greater access to land than women.'</w:t>
      </w:r>
      <w:bookmarkStart w:id="38" w:name="_Ref490638058"/>
      <w:r w:rsidRPr="00662CBB">
        <w:rPr>
          <w:rStyle w:val="FootnoteReference"/>
        </w:rPr>
        <w:footnoteReference w:id="79"/>
      </w:r>
      <w:bookmarkEnd w:id="38"/>
      <w:r w:rsidR="00EE3A10">
        <w:t xml:space="preserve"> </w:t>
      </w:r>
    </w:p>
    <w:p w:rsidR="009248E2" w:rsidRPr="00763491" w:rsidRDefault="009248E2" w:rsidP="00223AFB">
      <w:pPr>
        <w:pStyle w:val="AllensHeading3"/>
        <w:rPr>
          <w:rFonts w:eastAsiaTheme="minorHAnsi"/>
          <w:lang w:eastAsia="en-US"/>
        </w:rPr>
      </w:pPr>
      <w:r w:rsidRPr="00763491">
        <w:rPr>
          <w:rFonts w:eastAsiaTheme="minorHAnsi"/>
          <w:b/>
          <w:lang w:val="en-US" w:eastAsia="en-US"/>
        </w:rPr>
        <w:t>What is the relationship between traditional legal ownership and customary ownership of land? Does the former override the latter</w:t>
      </w:r>
      <w:r w:rsidR="00690071" w:rsidRPr="00763491">
        <w:rPr>
          <w:rFonts w:eastAsiaTheme="minorHAnsi"/>
          <w:b/>
          <w:lang w:val="en-US" w:eastAsia="en-US"/>
        </w:rPr>
        <w:t>?</w:t>
      </w:r>
    </w:p>
    <w:p w:rsidR="00755333" w:rsidRDefault="00755333" w:rsidP="00F226A5">
      <w:pPr>
        <w:pStyle w:val="AllensHeading3"/>
        <w:numPr>
          <w:ilvl w:val="0"/>
          <w:numId w:val="0"/>
        </w:numPr>
        <w:ind w:left="1418"/>
      </w:pPr>
      <w:r w:rsidRPr="009B0D22">
        <w:rPr>
          <w:rFonts w:eastAsiaTheme="minorHAnsi" w:cs="Arial"/>
          <w:lang w:eastAsia="en-US"/>
        </w:rPr>
        <w:t>IPRA</w:t>
      </w:r>
      <w:r w:rsidRPr="00763491">
        <w:rPr>
          <w:rFonts w:eastAsiaTheme="minorHAnsi" w:cs="Arial"/>
          <w:i/>
          <w:lang w:eastAsia="en-US"/>
        </w:rPr>
        <w:t xml:space="preserve"> </w:t>
      </w:r>
      <w:r w:rsidR="0028674F" w:rsidRPr="0028674F">
        <w:rPr>
          <w:rFonts w:eastAsiaTheme="minorHAnsi" w:cs="Arial"/>
          <w:lang w:eastAsia="en-US"/>
        </w:rPr>
        <w:t>goes some</w:t>
      </w:r>
      <w:r w:rsidR="0028674F">
        <w:rPr>
          <w:rFonts w:eastAsiaTheme="minorHAnsi" w:cs="Arial"/>
          <w:lang w:eastAsia="en-US"/>
        </w:rPr>
        <w:t xml:space="preserve"> way towards</w:t>
      </w:r>
      <w:r w:rsidR="0028674F" w:rsidRPr="0028674F">
        <w:rPr>
          <w:rFonts w:eastAsiaTheme="minorHAnsi" w:cs="Arial"/>
          <w:lang w:eastAsia="en-US"/>
        </w:rPr>
        <w:t xml:space="preserve"> </w:t>
      </w:r>
      <w:r w:rsidRPr="00763491">
        <w:rPr>
          <w:rFonts w:eastAsiaTheme="minorHAnsi" w:cs="Arial"/>
          <w:lang w:eastAsia="en-US"/>
        </w:rPr>
        <w:t>defining</w:t>
      </w:r>
      <w:r w:rsidRPr="009014A1">
        <w:rPr>
          <w:rFonts w:eastAsiaTheme="minorHAnsi" w:cs="Arial"/>
          <w:lang w:eastAsia="en-US"/>
        </w:rPr>
        <w:t xml:space="preserve"> the relationship between </w:t>
      </w:r>
      <w:r w:rsidR="0028674F">
        <w:rPr>
          <w:rFonts w:eastAsiaTheme="minorHAnsi" w:cs="Arial"/>
          <w:lang w:eastAsia="en-US"/>
        </w:rPr>
        <w:t>traditional l</w:t>
      </w:r>
      <w:r w:rsidRPr="009014A1">
        <w:rPr>
          <w:rFonts w:eastAsiaTheme="minorHAnsi" w:cs="Arial"/>
          <w:lang w:eastAsia="en-US"/>
        </w:rPr>
        <w:t>egal ownership and customar</w:t>
      </w:r>
      <w:r w:rsidRPr="009B0D22">
        <w:rPr>
          <w:rFonts w:eastAsiaTheme="minorHAnsi" w:cs="Arial"/>
          <w:lang w:eastAsia="en-US"/>
        </w:rPr>
        <w:t xml:space="preserve">y </w:t>
      </w:r>
      <w:r w:rsidR="0028674F">
        <w:rPr>
          <w:rFonts w:eastAsiaTheme="minorHAnsi" w:cs="Arial"/>
          <w:lang w:eastAsia="en-US"/>
        </w:rPr>
        <w:t>ownership of land</w:t>
      </w:r>
      <w:r w:rsidRPr="009B0D22">
        <w:rPr>
          <w:rFonts w:eastAsiaTheme="minorHAnsi" w:cs="Arial"/>
          <w:lang w:eastAsia="en-US"/>
        </w:rPr>
        <w:t xml:space="preserve">. </w:t>
      </w:r>
      <w:r w:rsidR="0028674F">
        <w:rPr>
          <w:rFonts w:eastAsiaTheme="minorHAnsi" w:cs="Arial"/>
          <w:lang w:eastAsia="en-US"/>
        </w:rPr>
        <w:t>Nonetheless</w:t>
      </w:r>
      <w:r w:rsidRPr="009B0D22">
        <w:rPr>
          <w:rFonts w:eastAsiaTheme="minorHAnsi" w:cs="Arial"/>
          <w:lang w:eastAsia="en-US"/>
        </w:rPr>
        <w:t>,</w:t>
      </w:r>
      <w:r w:rsidRPr="009B0D22">
        <w:t xml:space="preserve"> commentators suggest that </w:t>
      </w:r>
      <w:r w:rsidR="00D52C75">
        <w:t xml:space="preserve">IPs </w:t>
      </w:r>
      <w:r w:rsidR="0028674F">
        <w:t xml:space="preserve">continue to </w:t>
      </w:r>
      <w:r w:rsidRPr="009B0D22">
        <w:t>'struggle to uphold their rights' under IPRA</w:t>
      </w:r>
      <w:r w:rsidR="0028674F">
        <w:t xml:space="preserve"> due to inconsistencies with both the foundations of </w:t>
      </w:r>
      <w:r w:rsidR="00D52C75">
        <w:t xml:space="preserve">Filipino </w:t>
      </w:r>
      <w:r w:rsidRPr="009B0D22">
        <w:t>land law (</w:t>
      </w:r>
      <w:proofErr w:type="spellStart"/>
      <w:r w:rsidR="000C45F0">
        <w:t>ie</w:t>
      </w:r>
      <w:proofErr w:type="spellEnd"/>
      <w:r w:rsidR="000C45F0">
        <w:t xml:space="preserve"> </w:t>
      </w:r>
      <w:r w:rsidRPr="009B0D22">
        <w:t xml:space="preserve">the </w:t>
      </w:r>
      <w:proofErr w:type="spellStart"/>
      <w:r w:rsidRPr="009B0D22">
        <w:t>Regalian</w:t>
      </w:r>
      <w:proofErr w:type="spellEnd"/>
      <w:r w:rsidR="005B1999">
        <w:t xml:space="preserve"> land</w:t>
      </w:r>
      <w:r w:rsidRPr="009B0D22">
        <w:t xml:space="preserve"> doctrine), as well as numerous statutes such as </w:t>
      </w:r>
      <w:r>
        <w:t xml:space="preserve">the </w:t>
      </w:r>
      <w:r w:rsidR="00861E17" w:rsidRPr="00035187">
        <w:rPr>
          <w:i/>
          <w:lang w:val="en-US"/>
        </w:rPr>
        <w:t>Revised Forestry Code</w:t>
      </w:r>
      <w:r w:rsidR="00861E17">
        <w:rPr>
          <w:i/>
          <w:lang w:val="en-US"/>
        </w:rPr>
        <w:t xml:space="preserve"> of 1975</w:t>
      </w:r>
      <w:r w:rsidR="00861E17" w:rsidRPr="009E33D5">
        <w:rPr>
          <w:lang w:val="en-US"/>
        </w:rPr>
        <w:t xml:space="preserve"> (</w:t>
      </w:r>
      <w:r w:rsidR="00861E17">
        <w:rPr>
          <w:rFonts w:eastAsiaTheme="minorHAnsi"/>
          <w:lang w:eastAsia="en-US"/>
        </w:rPr>
        <w:t>Presidential Decree No 705</w:t>
      </w:r>
      <w:r w:rsidR="00861E17" w:rsidRPr="009E33D5">
        <w:rPr>
          <w:rFonts w:eastAsiaTheme="minorHAnsi"/>
          <w:lang w:eastAsia="en-US"/>
        </w:rPr>
        <w:t>)</w:t>
      </w:r>
      <w:r>
        <w:t xml:space="preserve">, </w:t>
      </w:r>
      <w:r w:rsidR="00861E17" w:rsidRPr="00FA62B7">
        <w:rPr>
          <w:rFonts w:eastAsiaTheme="minorHAnsi" w:cs="Arial"/>
          <w:i/>
          <w:lang w:eastAsia="en-US"/>
        </w:rPr>
        <w:t>Mining Act of 1995</w:t>
      </w:r>
      <w:r w:rsidR="00861E17" w:rsidRPr="00FA62B7">
        <w:rPr>
          <w:rFonts w:eastAsiaTheme="minorHAnsi" w:cs="Arial"/>
          <w:lang w:eastAsia="en-US"/>
        </w:rPr>
        <w:t xml:space="preserve"> (Republic Act 7942)</w:t>
      </w:r>
      <w:r w:rsidR="00861E17">
        <w:rPr>
          <w:rFonts w:eastAsiaTheme="minorHAnsi" w:cs="Arial"/>
          <w:lang w:eastAsia="en-US"/>
        </w:rPr>
        <w:t xml:space="preserve"> </w:t>
      </w:r>
      <w:r>
        <w:t>and</w:t>
      </w:r>
      <w:r w:rsidRPr="008D6DDA">
        <w:t xml:space="preserve"> </w:t>
      </w:r>
      <w:r w:rsidRPr="006C1D0E">
        <w:rPr>
          <w:i/>
        </w:rPr>
        <w:t>National Integrated Protected Areas System Act</w:t>
      </w:r>
      <w:r w:rsidR="00861E17">
        <w:rPr>
          <w:i/>
        </w:rPr>
        <w:t xml:space="preserve"> of 1992 </w:t>
      </w:r>
      <w:r w:rsidR="00861E17">
        <w:t>(</w:t>
      </w:r>
      <w:r w:rsidR="00861E17" w:rsidRPr="00861E17">
        <w:t>Republic Act 7586)</w:t>
      </w:r>
      <w:r w:rsidRPr="00861E17">
        <w:t>.</w:t>
      </w:r>
      <w:r w:rsidRPr="00861E17">
        <w:rPr>
          <w:rStyle w:val="FootnoteReference"/>
        </w:rPr>
        <w:footnoteReference w:id="80"/>
      </w:r>
    </w:p>
    <w:p w:rsidR="00755333" w:rsidRPr="009B0D22" w:rsidRDefault="00755333" w:rsidP="00F226A5">
      <w:pPr>
        <w:pStyle w:val="AllensHeading3"/>
        <w:numPr>
          <w:ilvl w:val="0"/>
          <w:numId w:val="0"/>
        </w:numPr>
        <w:ind w:left="1418"/>
        <w:rPr>
          <w:rFonts w:eastAsiaTheme="minorHAnsi"/>
          <w:highlight w:val="cyan"/>
          <w:lang w:eastAsia="en-US"/>
        </w:rPr>
      </w:pPr>
      <w:r>
        <w:rPr>
          <w:rFonts w:eastAsiaTheme="minorHAnsi" w:cs="Arial"/>
          <w:lang w:eastAsia="en-US"/>
        </w:rPr>
        <w:t>Where customary land ownership exists outside of statute, it is generally difficult to assert</w:t>
      </w:r>
      <w:r w:rsidR="009B0D22">
        <w:rPr>
          <w:rFonts w:eastAsiaTheme="minorHAnsi" w:cs="Arial"/>
          <w:lang w:eastAsia="en-US"/>
        </w:rPr>
        <w:t>. It is also</w:t>
      </w:r>
      <w:r>
        <w:rPr>
          <w:rFonts w:eastAsiaTheme="minorHAnsi" w:cs="Arial"/>
          <w:lang w:eastAsia="en-US"/>
        </w:rPr>
        <w:t xml:space="preserve"> considered less authoritative than state law. This is consistent with the </w:t>
      </w:r>
      <w:r w:rsidRPr="009B0D22">
        <w:rPr>
          <w:rFonts w:eastAsiaTheme="minorHAnsi" w:cs="Arial"/>
          <w:lang w:eastAsia="en-US"/>
        </w:rPr>
        <w:t>position in most Asian countries that, '[t]he formal status of customary law … is usually subordinate to written laws; and if it comes into conflict with written legislation – especially, but not limited to, constitutional legal provisions – customary law usually has to give way.'</w:t>
      </w:r>
      <w:r w:rsidRPr="009B0D22">
        <w:rPr>
          <w:rStyle w:val="FootnoteReference"/>
          <w:rFonts w:eastAsiaTheme="minorHAnsi" w:cs="Arial"/>
          <w:lang w:eastAsia="en-US"/>
        </w:rPr>
        <w:footnoteReference w:id="81"/>
      </w:r>
    </w:p>
    <w:p w:rsidR="00223AFB" w:rsidRPr="009B0D22" w:rsidRDefault="009C5481" w:rsidP="002878E4">
      <w:pPr>
        <w:pStyle w:val="AllensHeading2"/>
        <w:rPr>
          <w:rFonts w:eastAsiaTheme="minorHAnsi"/>
          <w:lang w:eastAsia="en-US"/>
        </w:rPr>
      </w:pPr>
      <w:bookmarkStart w:id="39" w:name="Informal"/>
      <w:bookmarkStart w:id="40" w:name="_Toc513116252"/>
      <w:bookmarkEnd w:id="39"/>
      <w:r w:rsidRPr="009B0D22">
        <w:rPr>
          <w:rFonts w:eastAsiaTheme="minorHAnsi"/>
          <w:lang w:eastAsia="en-US"/>
        </w:rPr>
        <w:lastRenderedPageBreak/>
        <w:t>Informal Settlement</w:t>
      </w:r>
      <w:r w:rsidR="004E3B0E" w:rsidRPr="009B0D22">
        <w:rPr>
          <w:rFonts w:eastAsiaTheme="minorHAnsi"/>
          <w:lang w:eastAsia="en-US"/>
        </w:rPr>
        <w:t>s</w:t>
      </w:r>
      <w:bookmarkEnd w:id="40"/>
    </w:p>
    <w:p w:rsidR="003F3C86" w:rsidRPr="00DB416B" w:rsidRDefault="009C5481" w:rsidP="003F3C86">
      <w:pPr>
        <w:pStyle w:val="AllensHeading3"/>
        <w:rPr>
          <w:rFonts w:eastAsiaTheme="minorHAnsi"/>
          <w:b/>
          <w:lang w:eastAsia="en-US"/>
        </w:rPr>
      </w:pPr>
      <w:r w:rsidRPr="00DB416B">
        <w:rPr>
          <w:rFonts w:eastAsiaTheme="minorHAnsi"/>
          <w:b/>
          <w:lang w:val="en-US" w:eastAsia="en-US"/>
        </w:rPr>
        <w:t>What are the locations and boundaries of informal settlements?</w:t>
      </w:r>
    </w:p>
    <w:p w:rsidR="00DB416B" w:rsidRDefault="007928C8" w:rsidP="00F226A5">
      <w:pPr>
        <w:pStyle w:val="AllensHeading3"/>
        <w:numPr>
          <w:ilvl w:val="0"/>
          <w:numId w:val="0"/>
        </w:numPr>
        <w:ind w:left="1418"/>
        <w:rPr>
          <w:rFonts w:eastAsiaTheme="minorHAnsi"/>
          <w:lang w:eastAsia="en-US"/>
        </w:rPr>
      </w:pPr>
      <w:r>
        <w:rPr>
          <w:rFonts w:eastAsiaTheme="minorHAnsi"/>
          <w:lang w:eastAsia="en-US"/>
        </w:rPr>
        <w:t>Informal settlements are a significant issue i</w:t>
      </w:r>
      <w:r w:rsidR="00DB416B" w:rsidRPr="00DB416B">
        <w:rPr>
          <w:rFonts w:eastAsiaTheme="minorHAnsi"/>
          <w:lang w:eastAsia="en-US"/>
        </w:rPr>
        <w:t>n the Philip</w:t>
      </w:r>
      <w:r>
        <w:rPr>
          <w:rFonts w:eastAsiaTheme="minorHAnsi"/>
          <w:lang w:eastAsia="en-US"/>
        </w:rPr>
        <w:t>pines, and particularly prevalent</w:t>
      </w:r>
      <w:r w:rsidR="00DB416B" w:rsidRPr="00DB416B">
        <w:rPr>
          <w:rFonts w:eastAsiaTheme="minorHAnsi"/>
          <w:lang w:eastAsia="en-US"/>
        </w:rPr>
        <w:t xml:space="preserve"> in Metro Manila, where the slum population currently stands at four million people.</w:t>
      </w:r>
      <w:r w:rsidR="00DB416B">
        <w:rPr>
          <w:rStyle w:val="FootnoteReference"/>
          <w:rFonts w:eastAsiaTheme="minorHAnsi"/>
          <w:lang w:eastAsia="en-US"/>
        </w:rPr>
        <w:footnoteReference w:id="82"/>
      </w:r>
      <w:r w:rsidR="00DB416B" w:rsidRPr="00DB416B">
        <w:rPr>
          <w:rFonts w:eastAsiaTheme="minorHAnsi"/>
          <w:lang w:eastAsia="en-US"/>
        </w:rPr>
        <w:t xml:space="preserve"> </w:t>
      </w:r>
    </w:p>
    <w:p w:rsidR="00DB416B" w:rsidRDefault="00DB416B" w:rsidP="00F226A5">
      <w:pPr>
        <w:pStyle w:val="AllensHeading3"/>
        <w:numPr>
          <w:ilvl w:val="0"/>
          <w:numId w:val="0"/>
        </w:numPr>
        <w:ind w:left="1418"/>
        <w:rPr>
          <w:rFonts w:eastAsiaTheme="minorHAnsi"/>
          <w:lang w:eastAsia="en-US"/>
        </w:rPr>
      </w:pPr>
      <w:r w:rsidRPr="00DB416B">
        <w:rPr>
          <w:rFonts w:eastAsiaTheme="minorHAnsi"/>
          <w:lang w:eastAsia="en-US"/>
        </w:rPr>
        <w:t>The Government has sought to address populations living in informal settlements th</w:t>
      </w:r>
      <w:r w:rsidR="007928C8">
        <w:rPr>
          <w:rFonts w:eastAsiaTheme="minorHAnsi"/>
          <w:lang w:eastAsia="en-US"/>
        </w:rPr>
        <w:t>r</w:t>
      </w:r>
      <w:r w:rsidRPr="00DB416B">
        <w:rPr>
          <w:rFonts w:eastAsiaTheme="minorHAnsi"/>
          <w:lang w:eastAsia="en-US"/>
        </w:rPr>
        <w:t xml:space="preserve">ough </w:t>
      </w:r>
      <w:r>
        <w:rPr>
          <w:rFonts w:eastAsiaTheme="minorHAnsi"/>
          <w:lang w:eastAsia="en-US"/>
        </w:rPr>
        <w:t>UDHA</w:t>
      </w:r>
      <w:r w:rsidRPr="00DB416B">
        <w:rPr>
          <w:rFonts w:eastAsiaTheme="minorHAnsi"/>
          <w:lang w:eastAsia="en-US"/>
        </w:rPr>
        <w:t xml:space="preserve"> which</w:t>
      </w:r>
      <w:r w:rsidR="009B0D22">
        <w:rPr>
          <w:rFonts w:eastAsiaTheme="minorHAnsi"/>
          <w:lang w:eastAsia="en-US"/>
        </w:rPr>
        <w:t xml:space="preserve"> among other things,</w:t>
      </w:r>
      <w:r w:rsidRPr="00DB416B">
        <w:rPr>
          <w:rFonts w:eastAsiaTheme="minorHAnsi"/>
          <w:lang w:eastAsia="en-US"/>
        </w:rPr>
        <w:t xml:space="preserve"> intends to provide adequ</w:t>
      </w:r>
      <w:r w:rsidR="009B0D22">
        <w:rPr>
          <w:rFonts w:eastAsiaTheme="minorHAnsi"/>
          <w:lang w:eastAsia="en-US"/>
        </w:rPr>
        <w:t xml:space="preserve">ate housing at affordable cost </w:t>
      </w:r>
      <w:r w:rsidRPr="00DB416B">
        <w:rPr>
          <w:rFonts w:eastAsiaTheme="minorHAnsi"/>
          <w:lang w:eastAsia="en-US"/>
        </w:rPr>
        <w:t xml:space="preserve">for slum residents in resettlement areas. </w:t>
      </w:r>
      <w:r w:rsidR="009B0D22">
        <w:rPr>
          <w:rFonts w:eastAsiaTheme="minorHAnsi"/>
          <w:lang w:eastAsia="en-US"/>
        </w:rPr>
        <w:t>Despite this intention</w:t>
      </w:r>
      <w:r>
        <w:rPr>
          <w:rFonts w:eastAsiaTheme="minorHAnsi"/>
          <w:lang w:eastAsia="en-US"/>
        </w:rPr>
        <w:t>, limitations due to inadequate</w:t>
      </w:r>
      <w:r w:rsidRPr="00DB416B">
        <w:rPr>
          <w:rFonts w:eastAsiaTheme="minorHAnsi"/>
          <w:lang w:eastAsia="en-US"/>
        </w:rPr>
        <w:t xml:space="preserve"> </w:t>
      </w:r>
      <w:r>
        <w:rPr>
          <w:rFonts w:eastAsiaTheme="minorHAnsi"/>
          <w:lang w:eastAsia="en-US"/>
        </w:rPr>
        <w:t xml:space="preserve">capabilities and funding at the LGU level and </w:t>
      </w:r>
      <w:r w:rsidRPr="00DB416B">
        <w:rPr>
          <w:rFonts w:eastAsiaTheme="minorHAnsi"/>
          <w:lang w:eastAsia="en-US"/>
        </w:rPr>
        <w:t xml:space="preserve">lack of cooperation and consultation </w:t>
      </w:r>
      <w:r w:rsidR="009B0D22">
        <w:rPr>
          <w:rFonts w:eastAsiaTheme="minorHAnsi"/>
          <w:lang w:eastAsia="en-US"/>
        </w:rPr>
        <w:t>with</w:t>
      </w:r>
      <w:r w:rsidRPr="00DB416B">
        <w:rPr>
          <w:rFonts w:eastAsiaTheme="minorHAnsi"/>
          <w:lang w:eastAsia="en-US"/>
        </w:rPr>
        <w:t xml:space="preserve"> informal settlement residents</w:t>
      </w:r>
      <w:r>
        <w:rPr>
          <w:rFonts w:eastAsiaTheme="minorHAnsi"/>
          <w:lang w:eastAsia="en-US"/>
        </w:rPr>
        <w:t xml:space="preserve"> has seen the </w:t>
      </w:r>
      <w:r w:rsidRPr="00DB416B">
        <w:rPr>
          <w:rFonts w:eastAsiaTheme="minorHAnsi"/>
          <w:lang w:eastAsia="en-US"/>
        </w:rPr>
        <w:t xml:space="preserve">conditions of urban slums </w:t>
      </w:r>
      <w:r w:rsidR="0058040E">
        <w:rPr>
          <w:rFonts w:eastAsiaTheme="minorHAnsi"/>
          <w:lang w:eastAsia="en-US"/>
        </w:rPr>
        <w:t>worsen in recent years and</w:t>
      </w:r>
      <w:r w:rsidRPr="00DB416B">
        <w:rPr>
          <w:rFonts w:eastAsiaTheme="minorHAnsi"/>
          <w:lang w:eastAsia="en-US"/>
        </w:rPr>
        <w:t xml:space="preserve"> the populations steadily increase</w:t>
      </w:r>
      <w:r w:rsidR="0058040E">
        <w:rPr>
          <w:rFonts w:eastAsiaTheme="minorHAnsi"/>
          <w:lang w:eastAsia="en-US"/>
        </w:rPr>
        <w:t xml:space="preserve">. </w:t>
      </w:r>
      <w:r w:rsidR="009B0D22">
        <w:rPr>
          <w:rFonts w:eastAsiaTheme="minorHAnsi"/>
          <w:lang w:eastAsia="en-US"/>
        </w:rPr>
        <w:t>Ev</w:t>
      </w:r>
      <w:r w:rsidRPr="00DB416B">
        <w:rPr>
          <w:rFonts w:eastAsiaTheme="minorHAnsi"/>
          <w:lang w:eastAsia="en-US"/>
        </w:rPr>
        <w:t>iction and demolition from both the government and p</w:t>
      </w:r>
      <w:r w:rsidR="009B0D22">
        <w:rPr>
          <w:rFonts w:eastAsiaTheme="minorHAnsi"/>
          <w:lang w:eastAsia="en-US"/>
        </w:rPr>
        <w:t>rivate landowners is a constant threat</w:t>
      </w:r>
      <w:r w:rsidRPr="00DB416B">
        <w:rPr>
          <w:rFonts w:eastAsiaTheme="minorHAnsi"/>
          <w:lang w:eastAsia="en-US"/>
        </w:rPr>
        <w:t>.</w:t>
      </w:r>
      <w:r w:rsidR="0058040E">
        <w:rPr>
          <w:rStyle w:val="FootnoteReference"/>
          <w:rFonts w:eastAsiaTheme="minorHAnsi"/>
          <w:lang w:eastAsia="en-US"/>
        </w:rPr>
        <w:footnoteReference w:id="83"/>
      </w:r>
      <w:r w:rsidRPr="00DB416B">
        <w:rPr>
          <w:rFonts w:eastAsiaTheme="minorHAnsi"/>
          <w:lang w:eastAsia="en-US"/>
        </w:rPr>
        <w:t xml:space="preserve"> </w:t>
      </w:r>
    </w:p>
    <w:p w:rsidR="00634261" w:rsidRDefault="00C65300" w:rsidP="00F226A5">
      <w:pPr>
        <w:pStyle w:val="AllensHeading3"/>
        <w:numPr>
          <w:ilvl w:val="0"/>
          <w:numId w:val="0"/>
        </w:numPr>
        <w:ind w:left="1418"/>
        <w:rPr>
          <w:rFonts w:eastAsiaTheme="minorHAnsi"/>
          <w:lang w:eastAsia="en-US"/>
        </w:rPr>
      </w:pPr>
      <w:r>
        <w:rPr>
          <w:rFonts w:eastAsiaTheme="minorHAnsi"/>
          <w:lang w:eastAsia="en-US"/>
        </w:rPr>
        <w:t>A Housing Backlog Study commissioned by the Housing and Urban Development Coordinating Council (</w:t>
      </w:r>
      <w:r w:rsidRPr="009B0D22">
        <w:rPr>
          <w:rFonts w:eastAsiaTheme="minorHAnsi"/>
          <w:b/>
          <w:i/>
          <w:lang w:eastAsia="en-US"/>
        </w:rPr>
        <w:t>HUDCC</w:t>
      </w:r>
      <w:r>
        <w:rPr>
          <w:rFonts w:eastAsiaTheme="minorHAnsi"/>
          <w:lang w:eastAsia="en-US"/>
        </w:rPr>
        <w:t>) in 2007 showed the highest concentration of informal settlements was in Quezon City, within Metro Manila in the National Capital Region. Next was Rizal in CALABARZON and Davao City in the Davao Region</w:t>
      </w:r>
      <w:r w:rsidR="009B0D22">
        <w:rPr>
          <w:rFonts w:eastAsiaTheme="minorHAnsi"/>
          <w:lang w:eastAsia="en-US"/>
        </w:rPr>
        <w:t>.</w:t>
      </w:r>
      <w:r>
        <w:rPr>
          <w:rStyle w:val="FootnoteReference"/>
          <w:rFonts w:eastAsiaTheme="minorHAnsi"/>
          <w:lang w:eastAsia="en-US"/>
        </w:rPr>
        <w:footnoteReference w:id="84"/>
      </w:r>
      <w:r w:rsidR="009B0D22">
        <w:rPr>
          <w:rFonts w:eastAsiaTheme="minorHAnsi"/>
          <w:lang w:eastAsia="en-US"/>
        </w:rPr>
        <w:t xml:space="preserve"> </w:t>
      </w:r>
      <w:r w:rsidR="00634261">
        <w:rPr>
          <w:rFonts w:eastAsiaTheme="minorHAnsi"/>
          <w:lang w:eastAsia="en-US"/>
        </w:rPr>
        <w:t xml:space="preserve">In </w:t>
      </w:r>
      <w:r w:rsidR="00391D38">
        <w:rPr>
          <w:rFonts w:eastAsiaTheme="minorHAnsi"/>
          <w:lang w:eastAsia="en-US"/>
        </w:rPr>
        <w:t>2010</w:t>
      </w:r>
      <w:r w:rsidR="00634261">
        <w:rPr>
          <w:rFonts w:eastAsiaTheme="minorHAnsi"/>
          <w:lang w:eastAsia="en-US"/>
        </w:rPr>
        <w:t xml:space="preserve">, the Metropolitan Manila Development Authority </w:t>
      </w:r>
      <w:r w:rsidR="00391D38">
        <w:rPr>
          <w:rFonts w:eastAsiaTheme="minorHAnsi"/>
          <w:lang w:eastAsia="en-US"/>
        </w:rPr>
        <w:t>estimated that there were 2.8 million informal settle</w:t>
      </w:r>
      <w:r w:rsidR="007928C8">
        <w:rPr>
          <w:rFonts w:eastAsiaTheme="minorHAnsi"/>
          <w:lang w:eastAsia="en-US"/>
        </w:rPr>
        <w:t>r</w:t>
      </w:r>
      <w:r w:rsidR="00391D38">
        <w:rPr>
          <w:rFonts w:eastAsiaTheme="minorHAnsi"/>
          <w:lang w:eastAsia="en-US"/>
        </w:rPr>
        <w:t>s or 556,526 families living in informal settlements in Metro Manila.</w:t>
      </w:r>
      <w:r w:rsidR="00391D38">
        <w:rPr>
          <w:rStyle w:val="FootnoteReference"/>
          <w:rFonts w:eastAsiaTheme="minorHAnsi"/>
          <w:lang w:eastAsia="en-US"/>
        </w:rPr>
        <w:footnoteReference w:id="85"/>
      </w:r>
      <w:r w:rsidR="00391D38">
        <w:rPr>
          <w:rFonts w:eastAsiaTheme="minorHAnsi"/>
          <w:lang w:eastAsia="en-US"/>
        </w:rPr>
        <w:t xml:space="preserve"> </w:t>
      </w:r>
    </w:p>
    <w:p w:rsidR="0058040E" w:rsidRDefault="007C3CCB" w:rsidP="00522D50">
      <w:pPr>
        <w:pStyle w:val="AllensHeading3"/>
        <w:numPr>
          <w:ilvl w:val="0"/>
          <w:numId w:val="0"/>
        </w:numPr>
        <w:ind w:left="1418"/>
        <w:rPr>
          <w:rFonts w:eastAsiaTheme="minorHAnsi"/>
          <w:lang w:eastAsia="en-US"/>
        </w:rPr>
      </w:pPr>
      <w:r>
        <w:rPr>
          <w:rFonts w:eastAsiaTheme="minorHAnsi"/>
          <w:lang w:eastAsia="en-US"/>
        </w:rPr>
        <w:t xml:space="preserve">Initiatives to secure tenure for informal settlements </w:t>
      </w:r>
      <w:r w:rsidR="00C65300">
        <w:rPr>
          <w:rFonts w:eastAsiaTheme="minorHAnsi"/>
          <w:lang w:eastAsia="en-US"/>
        </w:rPr>
        <w:t xml:space="preserve">are problematic </w:t>
      </w:r>
      <w:r w:rsidR="009B0D22">
        <w:rPr>
          <w:rFonts w:eastAsiaTheme="minorHAnsi"/>
          <w:lang w:eastAsia="en-US"/>
        </w:rPr>
        <w:t xml:space="preserve">for a host of different reasons. One of the key difficulties is that </w:t>
      </w:r>
      <w:r w:rsidR="00C65300">
        <w:rPr>
          <w:rFonts w:eastAsiaTheme="minorHAnsi"/>
          <w:lang w:eastAsia="en-US"/>
        </w:rPr>
        <w:t xml:space="preserve">many are situated in areas deemed too dangerous for secure tenure. Approximately </w:t>
      </w:r>
      <w:r w:rsidR="005522AA">
        <w:rPr>
          <w:rFonts w:eastAsiaTheme="minorHAnsi"/>
          <w:lang w:eastAsia="en-US"/>
        </w:rPr>
        <w:t xml:space="preserve">50 per cent of the </w:t>
      </w:r>
      <w:r w:rsidR="00477531">
        <w:rPr>
          <w:rFonts w:eastAsiaTheme="minorHAnsi"/>
          <w:lang w:eastAsia="en-US"/>
        </w:rPr>
        <w:t xml:space="preserve">more than half a million </w:t>
      </w:r>
      <w:r w:rsidR="005522AA">
        <w:rPr>
          <w:rFonts w:eastAsiaTheme="minorHAnsi"/>
          <w:lang w:eastAsia="en-US"/>
        </w:rPr>
        <w:t>informal settler families live along rivers or seashores, which are frequently affected by typhoons, seasonal rains sea surges and erosion. Some live in infill or open dumpsite</w:t>
      </w:r>
      <w:r w:rsidR="007928C8">
        <w:rPr>
          <w:rFonts w:eastAsiaTheme="minorHAnsi"/>
          <w:lang w:eastAsia="en-US"/>
        </w:rPr>
        <w:t>s</w:t>
      </w:r>
      <w:r w:rsidR="005522AA">
        <w:rPr>
          <w:rFonts w:eastAsiaTheme="minorHAnsi"/>
          <w:lang w:eastAsia="en-US"/>
        </w:rPr>
        <w:t xml:space="preserve"> (</w:t>
      </w:r>
      <w:r w:rsidR="009B0D22">
        <w:rPr>
          <w:rFonts w:eastAsiaTheme="minorHAnsi"/>
          <w:lang w:eastAsia="en-US"/>
        </w:rPr>
        <w:t>where</w:t>
      </w:r>
      <w:r w:rsidR="005522AA">
        <w:rPr>
          <w:rFonts w:eastAsiaTheme="minorHAnsi"/>
          <w:lang w:eastAsia="en-US"/>
        </w:rPr>
        <w:t xml:space="preserve"> most</w:t>
      </w:r>
      <w:r w:rsidR="009B0D22">
        <w:rPr>
          <w:rFonts w:eastAsiaTheme="minorHAnsi"/>
          <w:lang w:eastAsia="en-US"/>
        </w:rPr>
        <w:t xml:space="preserve"> households will earn from scavenging</w:t>
      </w:r>
      <w:r w:rsidR="005522AA">
        <w:rPr>
          <w:rFonts w:eastAsiaTheme="minorHAnsi"/>
          <w:lang w:eastAsia="en-US"/>
        </w:rPr>
        <w:t>) and along major highways which are heavil</w:t>
      </w:r>
      <w:r w:rsidR="00634261">
        <w:rPr>
          <w:rFonts w:eastAsiaTheme="minorHAnsi"/>
          <w:lang w:eastAsia="en-US"/>
        </w:rPr>
        <w:t>y trafficked roads and corners</w:t>
      </w:r>
      <w:r w:rsidR="00391D38">
        <w:rPr>
          <w:rFonts w:eastAsiaTheme="minorHAnsi"/>
          <w:lang w:eastAsia="en-US"/>
        </w:rPr>
        <w:t xml:space="preserve"> or railroad tracks</w:t>
      </w:r>
      <w:r w:rsidR="00634261">
        <w:rPr>
          <w:rFonts w:eastAsiaTheme="minorHAnsi"/>
          <w:lang w:eastAsia="en-US"/>
        </w:rPr>
        <w:t>.</w:t>
      </w:r>
      <w:r w:rsidR="00634261">
        <w:rPr>
          <w:rStyle w:val="FootnoteReference"/>
          <w:rFonts w:eastAsiaTheme="minorHAnsi"/>
          <w:lang w:eastAsia="en-US"/>
        </w:rPr>
        <w:footnoteReference w:id="86"/>
      </w:r>
    </w:p>
    <w:p w:rsidR="00477531" w:rsidRDefault="00477531" w:rsidP="00522D50">
      <w:pPr>
        <w:pStyle w:val="AllensHeading3"/>
        <w:numPr>
          <w:ilvl w:val="0"/>
          <w:numId w:val="0"/>
        </w:numPr>
        <w:ind w:left="1418"/>
        <w:rPr>
          <w:rFonts w:eastAsiaTheme="minorHAnsi"/>
          <w:lang w:eastAsia="en-US"/>
        </w:rPr>
      </w:pPr>
      <w:r>
        <w:rPr>
          <w:rFonts w:eastAsiaTheme="minorHAnsi"/>
          <w:lang w:eastAsia="en-US"/>
        </w:rPr>
        <w:t>The Philippines Homeless People's Federation (</w:t>
      </w:r>
      <w:r w:rsidRPr="00477531">
        <w:rPr>
          <w:rFonts w:eastAsiaTheme="minorHAnsi"/>
          <w:b/>
          <w:i/>
          <w:lang w:eastAsia="en-US"/>
        </w:rPr>
        <w:t>PHPF</w:t>
      </w:r>
      <w:r>
        <w:rPr>
          <w:rFonts w:eastAsiaTheme="minorHAnsi"/>
          <w:lang w:eastAsia="en-US"/>
        </w:rPr>
        <w:t>) have demonstrated through projects that it is possible for people to voluntarily resettle to other lands if the current areas pose significant risk and if they are properly consulted with and feel they can negotiate supportive conditions for resettlement onto safe lands. One such project was in Iloilo, a city of over 40,000 households, including 16,754 household</w:t>
      </w:r>
      <w:r w:rsidR="002A7618">
        <w:rPr>
          <w:rFonts w:eastAsiaTheme="minorHAnsi"/>
          <w:lang w:eastAsia="en-US"/>
        </w:rPr>
        <w:t>s</w:t>
      </w:r>
      <w:r>
        <w:rPr>
          <w:rFonts w:eastAsiaTheme="minorHAnsi"/>
          <w:lang w:eastAsia="en-US"/>
        </w:rPr>
        <w:t xml:space="preserve"> that were in informal settlements. </w:t>
      </w:r>
      <w:r w:rsidR="009B0D22">
        <w:rPr>
          <w:rFonts w:eastAsiaTheme="minorHAnsi"/>
          <w:lang w:eastAsia="en-US"/>
        </w:rPr>
        <w:t>From the wake of</w:t>
      </w:r>
      <w:r>
        <w:rPr>
          <w:rFonts w:eastAsiaTheme="minorHAnsi"/>
          <w:lang w:eastAsia="en-US"/>
        </w:rPr>
        <w:t xml:space="preserve"> Typhoon Frank in 2008</w:t>
      </w:r>
      <w:r w:rsidR="009B0D22">
        <w:rPr>
          <w:rFonts w:eastAsiaTheme="minorHAnsi"/>
          <w:lang w:eastAsia="en-US"/>
        </w:rPr>
        <w:t xml:space="preserve"> until 2010</w:t>
      </w:r>
      <w:r>
        <w:rPr>
          <w:rFonts w:eastAsiaTheme="minorHAnsi"/>
          <w:lang w:eastAsia="en-US"/>
        </w:rPr>
        <w:t xml:space="preserve">, </w:t>
      </w:r>
      <w:r w:rsidR="007928C8">
        <w:rPr>
          <w:rFonts w:eastAsiaTheme="minorHAnsi"/>
          <w:lang w:eastAsia="en-US"/>
        </w:rPr>
        <w:t>t</w:t>
      </w:r>
      <w:r>
        <w:rPr>
          <w:rFonts w:eastAsiaTheme="minorHAnsi"/>
          <w:lang w:eastAsia="en-US"/>
        </w:rPr>
        <w:t>he PHPF laid out the relocation of nearly 2000 families to safer lands in San Isidro.</w:t>
      </w:r>
      <w:r w:rsidR="0084277E">
        <w:rPr>
          <w:rStyle w:val="FootnoteReference"/>
          <w:rFonts w:eastAsiaTheme="minorHAnsi"/>
          <w:lang w:eastAsia="en-US"/>
        </w:rPr>
        <w:footnoteReference w:id="87"/>
      </w:r>
      <w:r>
        <w:rPr>
          <w:rFonts w:eastAsiaTheme="minorHAnsi"/>
          <w:lang w:eastAsia="en-US"/>
        </w:rPr>
        <w:t xml:space="preserve"> </w:t>
      </w:r>
    </w:p>
    <w:p w:rsidR="009C5481" w:rsidRDefault="009C5481" w:rsidP="009059BF">
      <w:pPr>
        <w:pStyle w:val="AllensHeading1"/>
        <w:rPr>
          <w:rFonts w:eastAsiaTheme="minorHAnsi"/>
          <w:lang w:val="en-US" w:eastAsia="en-US"/>
        </w:rPr>
      </w:pPr>
      <w:bookmarkStart w:id="41" w:name="SecurityofTenure"/>
      <w:bookmarkStart w:id="42" w:name="_Toc513116253"/>
      <w:bookmarkEnd w:id="41"/>
      <w:r w:rsidRPr="009C5481">
        <w:rPr>
          <w:rFonts w:eastAsiaTheme="minorHAnsi"/>
          <w:lang w:val="en-US" w:eastAsia="en-US"/>
        </w:rPr>
        <w:lastRenderedPageBreak/>
        <w:t>Security of Tenure of Vulnerable Groups</w:t>
      </w:r>
      <w:bookmarkEnd w:id="42"/>
    </w:p>
    <w:p w:rsidR="009C5481" w:rsidRPr="003F1450" w:rsidRDefault="009C5481" w:rsidP="009C5481">
      <w:pPr>
        <w:pStyle w:val="AllensHeading2"/>
        <w:rPr>
          <w:rFonts w:eastAsiaTheme="minorHAnsi"/>
          <w:lang w:val="en-US" w:eastAsia="en-US"/>
        </w:rPr>
      </w:pPr>
      <w:bookmarkStart w:id="43" w:name="Women"/>
      <w:bookmarkStart w:id="44" w:name="_Toc513116254"/>
      <w:bookmarkEnd w:id="43"/>
      <w:r w:rsidRPr="003F1450">
        <w:rPr>
          <w:rFonts w:eastAsiaTheme="minorHAnsi"/>
          <w:lang w:val="en-US" w:eastAsia="en-US"/>
        </w:rPr>
        <w:t>Women</w:t>
      </w:r>
      <w:bookmarkEnd w:id="44"/>
    </w:p>
    <w:p w:rsidR="009C5481" w:rsidRPr="003F1450" w:rsidRDefault="009C5481" w:rsidP="009059BF">
      <w:pPr>
        <w:pStyle w:val="AllensHeading3"/>
        <w:keepNext/>
        <w:rPr>
          <w:rFonts w:eastAsiaTheme="minorHAnsi"/>
          <w:b/>
          <w:lang w:val="en-US" w:eastAsia="en-US"/>
        </w:rPr>
      </w:pPr>
      <w:r w:rsidRPr="003F1450">
        <w:rPr>
          <w:rFonts w:eastAsiaTheme="minorHAnsi"/>
          <w:b/>
          <w:lang w:val="en-US" w:eastAsia="en-US"/>
        </w:rPr>
        <w:t>Can women own, rent or inherit land and housing?</w:t>
      </w:r>
    </w:p>
    <w:p w:rsidR="003F1450" w:rsidRPr="003F1450" w:rsidRDefault="003F1450" w:rsidP="00F226A5">
      <w:pPr>
        <w:ind w:left="1418"/>
        <w:rPr>
          <w:rFonts w:eastAsiaTheme="minorHAnsi"/>
          <w:lang w:val="en-US" w:eastAsia="en-US"/>
        </w:rPr>
      </w:pPr>
      <w:r w:rsidRPr="003F1450">
        <w:rPr>
          <w:rFonts w:eastAsiaTheme="minorHAnsi"/>
          <w:lang w:val="en-US" w:eastAsia="en-US"/>
        </w:rPr>
        <w:t>As of 2002, there are no longer formal restrictions on Filipino women owning, renting</w:t>
      </w:r>
      <w:r w:rsidR="008A12E6">
        <w:rPr>
          <w:rFonts w:eastAsiaTheme="minorHAnsi"/>
          <w:lang w:val="en-US" w:eastAsia="en-US"/>
        </w:rPr>
        <w:t xml:space="preserve"> or inheriting land and housing, and this is similarly reflected in CARPER.</w:t>
      </w:r>
      <w:r w:rsidRPr="003F1450">
        <w:rPr>
          <w:rFonts w:eastAsiaTheme="minorHAnsi"/>
          <w:lang w:val="en-US" w:eastAsia="en-US"/>
        </w:rPr>
        <w:t xml:space="preserve"> However, the legal framework does not ensure women have full rights to property.</w:t>
      </w:r>
      <w:bookmarkStart w:id="45" w:name="_Ref490637665"/>
      <w:r w:rsidRPr="003F1450">
        <w:rPr>
          <w:rFonts w:eastAsiaTheme="minorHAnsi"/>
          <w:vertAlign w:val="superscript"/>
          <w:lang w:val="en-US" w:eastAsia="en-US"/>
        </w:rPr>
        <w:footnoteReference w:id="88"/>
      </w:r>
      <w:bookmarkEnd w:id="45"/>
    </w:p>
    <w:p w:rsidR="003F1450" w:rsidRPr="009059BF" w:rsidRDefault="003F1450" w:rsidP="003F1450">
      <w:pPr>
        <w:numPr>
          <w:ilvl w:val="3"/>
          <w:numId w:val="1"/>
        </w:numPr>
        <w:rPr>
          <w:rFonts w:eastAsiaTheme="minorHAnsi"/>
          <w:b/>
          <w:lang w:val="en-US" w:eastAsia="en-US"/>
        </w:rPr>
      </w:pPr>
      <w:r w:rsidRPr="009059BF">
        <w:rPr>
          <w:rFonts w:eastAsiaTheme="minorHAnsi"/>
          <w:b/>
          <w:lang w:val="en-US" w:eastAsia="en-US"/>
        </w:rPr>
        <w:t xml:space="preserve">Owning property </w:t>
      </w:r>
    </w:p>
    <w:p w:rsidR="003F1450" w:rsidRPr="003F1450" w:rsidRDefault="000C14A0" w:rsidP="00F226A5">
      <w:pPr>
        <w:ind w:left="2126"/>
        <w:rPr>
          <w:rFonts w:eastAsiaTheme="minorHAnsi"/>
          <w:lang w:val="en-US" w:eastAsia="en-US"/>
        </w:rPr>
      </w:pPr>
      <w:r>
        <w:rPr>
          <w:rFonts w:eastAsiaTheme="minorHAnsi"/>
          <w:lang w:val="en-US" w:eastAsia="en-US"/>
        </w:rPr>
        <w:t xml:space="preserve">Philippine property </w:t>
      </w:r>
      <w:proofErr w:type="gramStart"/>
      <w:r>
        <w:rPr>
          <w:rFonts w:eastAsiaTheme="minorHAnsi"/>
          <w:lang w:val="en-US" w:eastAsia="en-US"/>
        </w:rPr>
        <w:t>law under the Civil Co</w:t>
      </w:r>
      <w:r w:rsidR="003F1450" w:rsidRPr="003F1450">
        <w:rPr>
          <w:rFonts w:eastAsiaTheme="minorHAnsi"/>
          <w:lang w:val="en-US" w:eastAsia="en-US"/>
        </w:rPr>
        <w:t>de as well as</w:t>
      </w:r>
      <w:r>
        <w:rPr>
          <w:rFonts w:eastAsiaTheme="minorHAnsi"/>
          <w:lang w:val="en-US" w:eastAsia="en-US"/>
        </w:rPr>
        <w:t xml:space="preserve"> Philippine family law under the Family </w:t>
      </w:r>
      <w:r w:rsidR="0040129E">
        <w:rPr>
          <w:rFonts w:eastAsiaTheme="minorHAnsi"/>
          <w:lang w:val="en-US" w:eastAsia="en-US"/>
        </w:rPr>
        <w:t xml:space="preserve">Code </w:t>
      </w:r>
      <w:r w:rsidR="003F1450" w:rsidRPr="003F1450">
        <w:rPr>
          <w:rFonts w:eastAsiaTheme="minorHAnsi"/>
          <w:lang w:val="en-US" w:eastAsia="en-US"/>
        </w:rPr>
        <w:t>are</w:t>
      </w:r>
      <w:proofErr w:type="gramEnd"/>
      <w:r w:rsidR="003F1450" w:rsidRPr="003F1450">
        <w:rPr>
          <w:rFonts w:eastAsiaTheme="minorHAnsi"/>
          <w:lang w:val="en-US" w:eastAsia="en-US"/>
        </w:rPr>
        <w:t xml:space="preserve"> gender neutral, with men and women holding equal property rights.</w:t>
      </w:r>
      <w:r w:rsidR="007864D2">
        <w:rPr>
          <w:rStyle w:val="FootnoteReference"/>
          <w:rFonts w:eastAsiaTheme="minorHAnsi"/>
          <w:lang w:val="en-US" w:eastAsia="en-US"/>
        </w:rPr>
        <w:footnoteReference w:id="89"/>
      </w:r>
      <w:r w:rsidR="003F1450" w:rsidRPr="003F1450">
        <w:rPr>
          <w:rFonts w:eastAsiaTheme="minorHAnsi"/>
          <w:lang w:val="en-US" w:eastAsia="en-US"/>
        </w:rPr>
        <w:t xml:space="preserve"> There are express provisions under the Family Code that cover cohabitation</w:t>
      </w:r>
      <w:r w:rsidR="009B0D22">
        <w:rPr>
          <w:rFonts w:eastAsiaTheme="minorHAnsi"/>
          <w:lang w:val="en-US" w:eastAsia="en-US"/>
        </w:rPr>
        <w:t>,</w:t>
      </w:r>
      <w:r w:rsidR="009B0D22">
        <w:rPr>
          <w:rStyle w:val="FootnoteReference"/>
          <w:rFonts w:eastAsiaTheme="minorHAnsi"/>
          <w:lang w:val="en-US" w:eastAsia="en-US"/>
        </w:rPr>
        <w:footnoteReference w:id="90"/>
      </w:r>
      <w:r w:rsidR="009B0D22">
        <w:rPr>
          <w:rFonts w:eastAsiaTheme="minorHAnsi"/>
          <w:lang w:val="en-US" w:eastAsia="en-US"/>
        </w:rPr>
        <w:t xml:space="preserve"> </w:t>
      </w:r>
      <w:r w:rsidR="003F1450" w:rsidRPr="003F1450">
        <w:rPr>
          <w:rFonts w:eastAsiaTheme="minorHAnsi"/>
          <w:lang w:val="en-US" w:eastAsia="en-US"/>
        </w:rPr>
        <w:t>and marriage</w:t>
      </w:r>
      <w:r w:rsidR="009B0D22">
        <w:rPr>
          <w:rFonts w:eastAsiaTheme="minorHAnsi"/>
          <w:lang w:val="en-US" w:eastAsia="en-US"/>
        </w:rPr>
        <w:t>.</w:t>
      </w:r>
      <w:r w:rsidR="009B0D22">
        <w:rPr>
          <w:rStyle w:val="FootnoteReference"/>
          <w:rFonts w:eastAsiaTheme="minorHAnsi"/>
          <w:lang w:val="en-US" w:eastAsia="en-US"/>
        </w:rPr>
        <w:footnoteReference w:id="91"/>
      </w:r>
      <w:r w:rsidR="00EE3A10">
        <w:rPr>
          <w:rFonts w:eastAsiaTheme="minorHAnsi"/>
          <w:lang w:val="en-US" w:eastAsia="en-US"/>
        </w:rPr>
        <w:t xml:space="preserve"> </w:t>
      </w:r>
      <w:r w:rsidR="003F1450" w:rsidRPr="003F1450">
        <w:rPr>
          <w:rFonts w:eastAsiaTheme="minorHAnsi"/>
          <w:lang w:val="en-US" w:eastAsia="en-US"/>
        </w:rPr>
        <w:t xml:space="preserve">Assets acquired during cohabitation without marriage are jointly owned and one partner can act </w:t>
      </w:r>
      <w:r w:rsidR="007928C8">
        <w:rPr>
          <w:rFonts w:eastAsiaTheme="minorHAnsi"/>
          <w:lang w:val="en-US" w:eastAsia="en-US"/>
        </w:rPr>
        <w:t>without</w:t>
      </w:r>
      <w:r w:rsidR="003F1450" w:rsidRPr="003F1450">
        <w:rPr>
          <w:rFonts w:eastAsiaTheme="minorHAnsi"/>
          <w:lang w:val="en-US" w:eastAsia="en-US"/>
        </w:rPr>
        <w:t xml:space="preserve"> the consent of the other. The marriage settlement is to determine the property regime between the husband and wife but in absence of such, both spouses jointly administer family property.</w:t>
      </w:r>
      <w:r w:rsidR="006D3A82">
        <w:rPr>
          <w:rFonts w:eastAsiaTheme="minorHAnsi"/>
          <w:lang w:val="en-US" w:eastAsia="en-US"/>
        </w:rPr>
        <w:t xml:space="preserve"> Article 111 of the Family Code provide</w:t>
      </w:r>
      <w:r w:rsidR="007928C8">
        <w:rPr>
          <w:rFonts w:eastAsiaTheme="minorHAnsi"/>
          <w:lang w:val="en-US" w:eastAsia="en-US"/>
        </w:rPr>
        <w:t>s</w:t>
      </w:r>
      <w:r w:rsidR="006D3A82">
        <w:rPr>
          <w:rFonts w:eastAsiaTheme="minorHAnsi"/>
          <w:lang w:val="en-US" w:eastAsia="en-US"/>
        </w:rPr>
        <w:t xml:space="preserve"> that a spouse in a marriage may retain exclusive management rights with regard to their exclusive property, without the need for the consent of the other spouse. </w:t>
      </w:r>
    </w:p>
    <w:p w:rsidR="003F1450" w:rsidRDefault="003F1450" w:rsidP="00F226A5">
      <w:pPr>
        <w:ind w:left="2126"/>
        <w:rPr>
          <w:rFonts w:eastAsiaTheme="minorHAnsi"/>
          <w:lang w:val="en-US" w:eastAsia="en-US"/>
        </w:rPr>
      </w:pPr>
      <w:r w:rsidRPr="003F1450">
        <w:rPr>
          <w:rFonts w:eastAsiaTheme="minorHAnsi"/>
          <w:lang w:val="en-US" w:eastAsia="en-US"/>
        </w:rPr>
        <w:t xml:space="preserve">Article 96 of the Family Code provides that in the case of a disagreement, the husband's decision shall prevail, subject to the wife having recourse to the court for her property remedy within 5 years from the date of the contract implementing such decision. </w:t>
      </w:r>
      <w:r w:rsidR="006D3A82">
        <w:rPr>
          <w:rFonts w:eastAsiaTheme="minorHAnsi"/>
          <w:lang w:val="en-US" w:eastAsia="en-US"/>
        </w:rPr>
        <w:t xml:space="preserve">Article 63(2) of the Family Code provides that in the case of legal separation, the terms of dissolution of common property are determined by guilt, not by gender. </w:t>
      </w:r>
      <w:r w:rsidRPr="003F1450">
        <w:rPr>
          <w:rFonts w:eastAsiaTheme="minorHAnsi"/>
          <w:lang w:val="en-US" w:eastAsia="en-US"/>
        </w:rPr>
        <w:t>Given that one of the major constraints on secure tenure in the Philippines is u</w:t>
      </w:r>
      <w:r w:rsidR="009B0D22">
        <w:rPr>
          <w:rFonts w:eastAsiaTheme="minorHAnsi"/>
          <w:lang w:val="en-US" w:eastAsia="en-US"/>
        </w:rPr>
        <w:t>nequal access to legal recourse</w:t>
      </w:r>
      <w:r w:rsidRPr="003F1450">
        <w:rPr>
          <w:rFonts w:eastAsiaTheme="minorHAnsi"/>
          <w:lang w:val="en-US" w:eastAsia="en-US"/>
        </w:rPr>
        <w:t xml:space="preserve">, article 96 is a strong example of how the law fails to safeguard women's full rights to property. </w:t>
      </w:r>
    </w:p>
    <w:p w:rsidR="00DA2D81" w:rsidRPr="003F1450" w:rsidRDefault="00DA2D81" w:rsidP="00F226A5">
      <w:pPr>
        <w:ind w:left="2126"/>
        <w:rPr>
          <w:rFonts w:eastAsiaTheme="minorHAnsi"/>
          <w:lang w:val="en-US" w:eastAsia="en-US"/>
        </w:rPr>
      </w:pPr>
      <w:r w:rsidRPr="003F1450">
        <w:rPr>
          <w:rFonts w:eastAsiaTheme="minorHAnsi"/>
          <w:lang w:val="en-US" w:eastAsia="en-US"/>
        </w:rPr>
        <w:t xml:space="preserve">Family relations within the Muslim communities of the Philippines are governed by the Code of Muslim Personal Laws (the </w:t>
      </w:r>
      <w:r w:rsidRPr="003F1450">
        <w:rPr>
          <w:rFonts w:eastAsiaTheme="minorHAnsi"/>
          <w:b/>
          <w:i/>
          <w:lang w:val="en-US" w:eastAsia="en-US"/>
        </w:rPr>
        <w:t>MPL Code</w:t>
      </w:r>
      <w:r w:rsidRPr="003F1450">
        <w:rPr>
          <w:rFonts w:eastAsiaTheme="minorHAnsi"/>
          <w:lang w:val="en-US" w:eastAsia="en-US"/>
        </w:rPr>
        <w:t xml:space="preserve">). This is particularly prevalent in </w:t>
      </w:r>
      <w:r w:rsidRPr="003F1450">
        <w:rPr>
          <w:lang w:val="en"/>
        </w:rPr>
        <w:t xml:space="preserve">Muslim Mindanao. Under the MPL Code, </w:t>
      </w:r>
      <w:r w:rsidR="007928C8">
        <w:rPr>
          <w:lang w:val="en"/>
        </w:rPr>
        <w:t>a wife</w:t>
      </w:r>
      <w:r w:rsidRPr="003F1450">
        <w:rPr>
          <w:lang w:val="en"/>
        </w:rPr>
        <w:t xml:space="preserve"> need</w:t>
      </w:r>
      <w:r w:rsidR="007928C8">
        <w:rPr>
          <w:lang w:val="en"/>
        </w:rPr>
        <w:t>s the consent of her</w:t>
      </w:r>
      <w:r w:rsidRPr="003F1450">
        <w:rPr>
          <w:lang w:val="en"/>
        </w:rPr>
        <w:t xml:space="preserve"> husband to acquire property during marriage and to use land.</w:t>
      </w:r>
      <w:bookmarkStart w:id="46" w:name="_Ref490637637"/>
      <w:r w:rsidR="007864D2">
        <w:rPr>
          <w:rStyle w:val="FootnoteReference"/>
          <w:lang w:val="en"/>
        </w:rPr>
        <w:footnoteReference w:id="92"/>
      </w:r>
      <w:bookmarkEnd w:id="46"/>
      <w:r w:rsidRPr="003F1450">
        <w:rPr>
          <w:lang w:val="en"/>
        </w:rPr>
        <w:t xml:space="preserve"> </w:t>
      </w:r>
    </w:p>
    <w:p w:rsidR="003F1450" w:rsidRPr="009059BF" w:rsidRDefault="003F1450" w:rsidP="003F1450">
      <w:pPr>
        <w:numPr>
          <w:ilvl w:val="3"/>
          <w:numId w:val="1"/>
        </w:numPr>
        <w:rPr>
          <w:rFonts w:eastAsiaTheme="minorHAnsi"/>
          <w:b/>
          <w:lang w:val="en-US" w:eastAsia="en-US"/>
        </w:rPr>
      </w:pPr>
      <w:r w:rsidRPr="009059BF">
        <w:rPr>
          <w:rFonts w:eastAsiaTheme="minorHAnsi"/>
          <w:b/>
          <w:lang w:val="en-US" w:eastAsia="en-US"/>
        </w:rPr>
        <w:t xml:space="preserve">Renting property </w:t>
      </w:r>
    </w:p>
    <w:p w:rsidR="003F1450" w:rsidRDefault="003F1450" w:rsidP="00F226A5">
      <w:pPr>
        <w:ind w:left="2126"/>
        <w:rPr>
          <w:rFonts w:eastAsiaTheme="minorHAnsi"/>
          <w:lang w:val="en-US" w:eastAsia="en-US"/>
        </w:rPr>
      </w:pPr>
      <w:r w:rsidRPr="003F1450">
        <w:rPr>
          <w:rFonts w:eastAsiaTheme="minorHAnsi"/>
          <w:lang w:val="en-US" w:eastAsia="en-US"/>
        </w:rPr>
        <w:t>The Civil Code and Family Code also apply to renting property</w:t>
      </w:r>
      <w:r w:rsidR="007928C8">
        <w:rPr>
          <w:rFonts w:eastAsiaTheme="minorHAnsi"/>
          <w:lang w:val="en-US" w:eastAsia="en-US"/>
        </w:rPr>
        <w:t>. There are t</w:t>
      </w:r>
      <w:r w:rsidRPr="003F1450">
        <w:rPr>
          <w:rFonts w:eastAsiaTheme="minorHAnsi"/>
          <w:lang w:val="en-US" w:eastAsia="en-US"/>
        </w:rPr>
        <w:t>herefore no</w:t>
      </w:r>
      <w:r w:rsidR="007928C8">
        <w:rPr>
          <w:rFonts w:eastAsiaTheme="minorHAnsi"/>
          <w:lang w:val="en-US" w:eastAsia="en-US"/>
        </w:rPr>
        <w:t xml:space="preserve"> explicit</w:t>
      </w:r>
      <w:r w:rsidRPr="003F1450">
        <w:rPr>
          <w:rFonts w:eastAsiaTheme="minorHAnsi"/>
          <w:lang w:val="en-US" w:eastAsia="en-US"/>
        </w:rPr>
        <w:t xml:space="preserve"> legal restrictions against women renting</w:t>
      </w:r>
      <w:r w:rsidR="00C205E4">
        <w:rPr>
          <w:rFonts w:eastAsiaTheme="minorHAnsi"/>
          <w:lang w:val="en-US" w:eastAsia="en-US"/>
        </w:rPr>
        <w:t xml:space="preserve">. </w:t>
      </w:r>
    </w:p>
    <w:p w:rsidR="003F1450" w:rsidRPr="009059BF" w:rsidRDefault="003F1450" w:rsidP="003F1450">
      <w:pPr>
        <w:numPr>
          <w:ilvl w:val="3"/>
          <w:numId w:val="1"/>
        </w:numPr>
        <w:rPr>
          <w:rFonts w:eastAsiaTheme="minorHAnsi"/>
          <w:b/>
          <w:lang w:val="en-US" w:eastAsia="en-US"/>
        </w:rPr>
      </w:pPr>
      <w:r w:rsidRPr="009059BF">
        <w:rPr>
          <w:rFonts w:eastAsiaTheme="minorHAnsi"/>
          <w:b/>
          <w:lang w:val="en-US" w:eastAsia="en-US"/>
        </w:rPr>
        <w:t xml:space="preserve">Inheriting property </w:t>
      </w:r>
    </w:p>
    <w:p w:rsidR="00D940C0" w:rsidRDefault="009B0D22" w:rsidP="00F226A5">
      <w:pPr>
        <w:ind w:left="2126"/>
        <w:rPr>
          <w:rFonts w:eastAsiaTheme="minorHAnsi"/>
          <w:lang w:val="en-US" w:eastAsia="en-US"/>
        </w:rPr>
      </w:pPr>
      <w:r>
        <w:rPr>
          <w:rFonts w:eastAsiaTheme="minorHAnsi"/>
          <w:lang w:val="en-US" w:eastAsia="en-US"/>
        </w:rPr>
        <w:t>As s</w:t>
      </w:r>
      <w:r w:rsidR="003F1450" w:rsidRPr="003F1450">
        <w:rPr>
          <w:rFonts w:eastAsiaTheme="minorHAnsi"/>
          <w:lang w:val="en-US" w:eastAsia="en-US"/>
        </w:rPr>
        <w:t xml:space="preserve">uccession law </w:t>
      </w:r>
      <w:r w:rsidRPr="003F1450">
        <w:rPr>
          <w:rFonts w:eastAsiaTheme="minorHAnsi"/>
          <w:lang w:val="en-US" w:eastAsia="en-US"/>
        </w:rPr>
        <w:t>in the Philippines</w:t>
      </w:r>
      <w:r>
        <w:rPr>
          <w:rFonts w:eastAsiaTheme="minorHAnsi"/>
          <w:lang w:val="en-US" w:eastAsia="en-US"/>
        </w:rPr>
        <w:t xml:space="preserve"> is</w:t>
      </w:r>
      <w:r w:rsidRPr="003F1450">
        <w:rPr>
          <w:rFonts w:eastAsiaTheme="minorHAnsi"/>
          <w:lang w:val="en-US" w:eastAsia="en-US"/>
        </w:rPr>
        <w:t xml:space="preserve"> </w:t>
      </w:r>
      <w:r>
        <w:rPr>
          <w:rFonts w:eastAsiaTheme="minorHAnsi"/>
          <w:lang w:val="en-US" w:eastAsia="en-US"/>
        </w:rPr>
        <w:t xml:space="preserve">under the </w:t>
      </w:r>
      <w:r w:rsidR="003F1450" w:rsidRPr="003F1450">
        <w:rPr>
          <w:rFonts w:eastAsiaTheme="minorHAnsi"/>
          <w:lang w:val="en-US" w:eastAsia="en-US"/>
        </w:rPr>
        <w:t>Family Code</w:t>
      </w:r>
      <w:r>
        <w:rPr>
          <w:rFonts w:eastAsiaTheme="minorHAnsi"/>
          <w:lang w:val="en-US" w:eastAsia="en-US"/>
        </w:rPr>
        <w:t>, it</w:t>
      </w:r>
      <w:r w:rsidR="003F1450" w:rsidRPr="003F1450">
        <w:rPr>
          <w:rFonts w:eastAsiaTheme="minorHAnsi"/>
          <w:lang w:val="en-US" w:eastAsia="en-US"/>
        </w:rPr>
        <w:t xml:space="preserve"> is also gender neutral. </w:t>
      </w:r>
      <w:proofErr w:type="gramStart"/>
      <w:r w:rsidR="00D940C0">
        <w:rPr>
          <w:rFonts w:eastAsiaTheme="minorHAnsi"/>
          <w:lang w:val="en-US" w:eastAsia="en-US"/>
        </w:rPr>
        <w:t>Additionally, a</w:t>
      </w:r>
      <w:r w:rsidR="003F1450" w:rsidRPr="003F1450">
        <w:rPr>
          <w:rFonts w:eastAsiaTheme="minorHAnsi"/>
          <w:lang w:val="en-US" w:eastAsia="en-US"/>
        </w:rPr>
        <w:t>rticle 900 of the Civil Code</w:t>
      </w:r>
      <w:r w:rsidR="00D940C0">
        <w:rPr>
          <w:rFonts w:eastAsiaTheme="minorHAnsi"/>
          <w:lang w:val="en-US" w:eastAsia="en-US"/>
        </w:rPr>
        <w:t xml:space="preserve"> outlines that</w:t>
      </w:r>
      <w:r w:rsidR="003F1450" w:rsidRPr="003F1450">
        <w:rPr>
          <w:rFonts w:eastAsiaTheme="minorHAnsi"/>
          <w:lang w:val="en-US" w:eastAsia="en-US"/>
        </w:rPr>
        <w:t xml:space="preserve"> widows are necessary heirs of the deceased spouse.</w:t>
      </w:r>
      <w:proofErr w:type="gramEnd"/>
      <w:r w:rsidR="003F1450" w:rsidRPr="003F1450">
        <w:rPr>
          <w:rFonts w:eastAsiaTheme="minorHAnsi"/>
          <w:lang w:val="en-US" w:eastAsia="en-US"/>
        </w:rPr>
        <w:t xml:space="preserve"> </w:t>
      </w:r>
      <w:r w:rsidR="00D940C0">
        <w:rPr>
          <w:rFonts w:eastAsiaTheme="minorHAnsi"/>
          <w:lang w:val="en-US" w:eastAsia="en-US"/>
        </w:rPr>
        <w:t>A</w:t>
      </w:r>
      <w:r w:rsidR="006D3A82">
        <w:rPr>
          <w:rFonts w:eastAsiaTheme="minorHAnsi"/>
          <w:lang w:val="en-US" w:eastAsia="en-US"/>
        </w:rPr>
        <w:t xml:space="preserve"> married woman may</w:t>
      </w:r>
      <w:r w:rsidR="00D940C0">
        <w:rPr>
          <w:rFonts w:eastAsiaTheme="minorHAnsi"/>
          <w:lang w:val="en-US" w:eastAsia="en-US"/>
        </w:rPr>
        <w:t xml:space="preserve"> also</w:t>
      </w:r>
      <w:r w:rsidR="006D3A82">
        <w:rPr>
          <w:rFonts w:eastAsiaTheme="minorHAnsi"/>
          <w:lang w:val="en-US" w:eastAsia="en-US"/>
        </w:rPr>
        <w:t xml:space="preserve"> make a will without the consent of her husband and without the consent of the court, and she </w:t>
      </w:r>
      <w:r w:rsidR="006D3A82">
        <w:rPr>
          <w:rFonts w:eastAsiaTheme="minorHAnsi"/>
          <w:lang w:val="en-US" w:eastAsia="en-US"/>
        </w:rPr>
        <w:lastRenderedPageBreak/>
        <w:t>may dispose by will of all her separate property as well as her share of the conjugal partnership or absolute community property.</w:t>
      </w:r>
      <w:r w:rsidR="006D3A82">
        <w:rPr>
          <w:rStyle w:val="FootnoteReference"/>
          <w:rFonts w:eastAsiaTheme="minorHAnsi"/>
          <w:lang w:val="en-US" w:eastAsia="en-US"/>
        </w:rPr>
        <w:footnoteReference w:id="93"/>
      </w:r>
      <w:r w:rsidR="00EE3A10">
        <w:rPr>
          <w:rFonts w:eastAsiaTheme="minorHAnsi"/>
          <w:lang w:val="en-US" w:eastAsia="en-US"/>
        </w:rPr>
        <w:t xml:space="preserve"> </w:t>
      </w:r>
    </w:p>
    <w:p w:rsidR="003F1450" w:rsidRPr="00C205E4" w:rsidRDefault="003F1450" w:rsidP="00F226A5">
      <w:pPr>
        <w:ind w:left="2126"/>
        <w:rPr>
          <w:rFonts w:eastAsiaTheme="minorHAnsi"/>
          <w:lang w:val="en-US" w:eastAsia="en-US"/>
        </w:rPr>
      </w:pPr>
      <w:r>
        <w:rPr>
          <w:rFonts w:eastAsiaTheme="minorHAnsi"/>
          <w:lang w:val="en-US" w:eastAsia="en-US"/>
        </w:rPr>
        <w:t xml:space="preserve">Under the MPL Code, wives only inherit half of the share inherited by men in a similar succession </w:t>
      </w:r>
      <w:r w:rsidRPr="00C205E4">
        <w:rPr>
          <w:rFonts w:eastAsiaTheme="minorHAnsi"/>
          <w:lang w:val="en-US" w:eastAsia="en-US"/>
        </w:rPr>
        <w:t>position</w:t>
      </w:r>
      <w:r w:rsidR="007864D2" w:rsidRPr="00662CBB">
        <w:t>.</w:t>
      </w:r>
      <w:r w:rsidR="007864D2" w:rsidRPr="00662CBB">
        <w:rPr>
          <w:rStyle w:val="FootnoteReference"/>
        </w:rPr>
        <w:footnoteReference w:id="94"/>
      </w:r>
    </w:p>
    <w:p w:rsidR="00165FDB" w:rsidRPr="00C205E4" w:rsidRDefault="00165FDB" w:rsidP="00165FDB">
      <w:pPr>
        <w:pStyle w:val="AllensHeading3"/>
        <w:rPr>
          <w:rFonts w:eastAsiaTheme="minorHAnsi"/>
          <w:lang w:val="en-US" w:eastAsia="en-US"/>
        </w:rPr>
      </w:pPr>
      <w:r w:rsidRPr="00C205E4">
        <w:rPr>
          <w:rFonts w:eastAsiaTheme="minorHAnsi"/>
          <w:b/>
          <w:lang w:val="en-US" w:eastAsia="en-US"/>
        </w:rPr>
        <w:t>In practice, do they? If not, why not?</w:t>
      </w:r>
    </w:p>
    <w:p w:rsidR="00C205E4" w:rsidRDefault="00C205E4" w:rsidP="00F226A5">
      <w:pPr>
        <w:pStyle w:val="AllensHeading3"/>
        <w:numPr>
          <w:ilvl w:val="0"/>
          <w:numId w:val="0"/>
        </w:numPr>
        <w:ind w:left="1418"/>
        <w:rPr>
          <w:rFonts w:eastAsiaTheme="minorHAnsi"/>
          <w:lang w:val="en-US" w:eastAsia="en-US"/>
        </w:rPr>
      </w:pPr>
      <w:r w:rsidRPr="00C205E4">
        <w:rPr>
          <w:rFonts w:eastAsiaTheme="minorHAnsi"/>
          <w:lang w:val="en-US" w:eastAsia="en-US"/>
        </w:rPr>
        <w:t>Customary practices and traditional patriarchal relations in families and communities still serve to</w:t>
      </w:r>
      <w:r w:rsidR="002A35E4">
        <w:rPr>
          <w:rFonts w:eastAsiaTheme="minorHAnsi"/>
          <w:lang w:val="en-US" w:eastAsia="en-US"/>
        </w:rPr>
        <w:t xml:space="preserve"> inhibit women's access to land and property rights. </w:t>
      </w:r>
      <w:r w:rsidR="00965F87">
        <w:rPr>
          <w:rFonts w:eastAsiaTheme="minorHAnsi"/>
          <w:lang w:val="en-US" w:eastAsia="en-US"/>
        </w:rPr>
        <w:t xml:space="preserve">This is steeped in history, where access to land and property has been </w:t>
      </w:r>
      <w:r w:rsidR="00DA040A">
        <w:rPr>
          <w:rFonts w:eastAsiaTheme="minorHAnsi"/>
          <w:lang w:val="en-US" w:eastAsia="en-US"/>
        </w:rPr>
        <w:t xml:space="preserve">a </w:t>
      </w:r>
      <w:r w:rsidR="00F7635E">
        <w:rPr>
          <w:rFonts w:eastAsiaTheme="minorHAnsi"/>
          <w:lang w:val="en-US" w:eastAsia="en-US"/>
        </w:rPr>
        <w:t>male</w:t>
      </w:r>
      <w:r w:rsidR="00965F87">
        <w:rPr>
          <w:rFonts w:eastAsiaTheme="minorHAnsi"/>
          <w:lang w:val="en-US" w:eastAsia="en-US"/>
        </w:rPr>
        <w:t xml:space="preserve"> domain.</w:t>
      </w:r>
      <w:r w:rsidR="00965F87">
        <w:rPr>
          <w:rStyle w:val="FootnoteReference"/>
          <w:rFonts w:eastAsiaTheme="minorHAnsi"/>
          <w:lang w:val="en-US" w:eastAsia="en-US"/>
        </w:rPr>
        <w:footnoteReference w:id="95"/>
      </w:r>
      <w:r w:rsidR="00965F87">
        <w:rPr>
          <w:rFonts w:eastAsiaTheme="minorHAnsi"/>
          <w:lang w:val="en-US" w:eastAsia="en-US"/>
        </w:rPr>
        <w:t xml:space="preserve"> </w:t>
      </w:r>
      <w:proofErr w:type="gramStart"/>
      <w:r w:rsidR="007864D2">
        <w:rPr>
          <w:rFonts w:eastAsiaTheme="minorHAnsi"/>
          <w:lang w:val="en-US" w:eastAsia="en-US"/>
        </w:rPr>
        <w:t>As above, customary laws for Muslim Filipinos mean that generally men have greater access to and enjoyment of land rights.</w:t>
      </w:r>
      <w:proofErr w:type="gramEnd"/>
      <w:r w:rsidR="00FB44BD">
        <w:rPr>
          <w:rFonts w:eastAsiaTheme="minorHAnsi"/>
          <w:lang w:val="en-US" w:eastAsia="en-US"/>
        </w:rPr>
        <w:t xml:space="preserve"> </w:t>
      </w:r>
      <w:r w:rsidR="007864D2" w:rsidRPr="00662CBB">
        <w:t>This is particularly the case in Southern Muslim</w:t>
      </w:r>
      <w:r w:rsidR="007864D2">
        <w:t xml:space="preserve"> Mindanao. </w:t>
      </w:r>
      <w:r w:rsidR="002A35E4">
        <w:rPr>
          <w:rFonts w:eastAsiaTheme="minorHAnsi"/>
          <w:lang w:val="en-US" w:eastAsia="en-US"/>
        </w:rPr>
        <w:t>While the few sex-disaggregated studies on land are intermitte</w:t>
      </w:r>
      <w:r w:rsidR="00D940C0">
        <w:rPr>
          <w:rFonts w:eastAsiaTheme="minorHAnsi"/>
          <w:lang w:val="en-US" w:eastAsia="en-US"/>
        </w:rPr>
        <w:t>nt</w:t>
      </w:r>
      <w:r w:rsidR="002A35E4">
        <w:rPr>
          <w:rFonts w:eastAsiaTheme="minorHAnsi"/>
          <w:lang w:val="en-US" w:eastAsia="en-US"/>
        </w:rPr>
        <w:t xml:space="preserve"> and dated, land administration agency data on the gender profile of beneficiaries indicate a significant gender gap between holders of land tenure instruments, particularly among married men and women.</w:t>
      </w:r>
      <w:r w:rsidR="002A35E4">
        <w:rPr>
          <w:rStyle w:val="FootnoteReference"/>
          <w:rFonts w:eastAsiaTheme="minorHAnsi"/>
          <w:lang w:val="en-US" w:eastAsia="en-US"/>
        </w:rPr>
        <w:footnoteReference w:id="96"/>
      </w:r>
      <w:r w:rsidR="00DF72E8">
        <w:rPr>
          <w:rFonts w:eastAsiaTheme="minorHAnsi"/>
          <w:lang w:val="en-US" w:eastAsia="en-US"/>
        </w:rPr>
        <w:t xml:space="preserve"> </w:t>
      </w:r>
    </w:p>
    <w:p w:rsidR="00DF72E8" w:rsidRDefault="00DF72E8" w:rsidP="00F226A5">
      <w:pPr>
        <w:ind w:left="1418"/>
        <w:rPr>
          <w:rFonts w:eastAsiaTheme="minorHAnsi"/>
          <w:lang w:val="en-US" w:eastAsia="en-US"/>
        </w:rPr>
      </w:pPr>
      <w:r>
        <w:rPr>
          <w:rFonts w:eastAsiaTheme="minorHAnsi"/>
          <w:lang w:val="en-US" w:eastAsia="en-US"/>
        </w:rPr>
        <w:t xml:space="preserve">In 2006, women comprised </w:t>
      </w:r>
      <w:r w:rsidR="00D940C0">
        <w:rPr>
          <w:rFonts w:eastAsiaTheme="minorHAnsi"/>
          <w:lang w:val="en-US" w:eastAsia="en-US"/>
        </w:rPr>
        <w:t>of</w:t>
      </w:r>
      <w:r>
        <w:rPr>
          <w:rFonts w:eastAsiaTheme="minorHAnsi"/>
          <w:lang w:val="en-US" w:eastAsia="en-US"/>
        </w:rPr>
        <w:t xml:space="preserve"> 25 per cent of the total number of recipients of </w:t>
      </w:r>
      <w:r w:rsidR="00D940C0">
        <w:rPr>
          <w:rFonts w:eastAsiaTheme="minorHAnsi"/>
          <w:lang w:val="en-US" w:eastAsia="en-US"/>
        </w:rPr>
        <w:t>CLOAs</w:t>
      </w:r>
      <w:r>
        <w:rPr>
          <w:rFonts w:eastAsiaTheme="minorHAnsi"/>
          <w:lang w:val="en-US" w:eastAsia="en-US"/>
        </w:rPr>
        <w:t>.</w:t>
      </w:r>
      <w:r>
        <w:rPr>
          <w:rStyle w:val="FootnoteReference"/>
          <w:rFonts w:eastAsiaTheme="minorHAnsi"/>
          <w:lang w:val="en-US" w:eastAsia="en-US"/>
        </w:rPr>
        <w:footnoteReference w:id="97"/>
      </w:r>
      <w:r>
        <w:rPr>
          <w:rFonts w:eastAsiaTheme="minorHAnsi"/>
          <w:lang w:val="en-US" w:eastAsia="en-US"/>
        </w:rPr>
        <w:t xml:space="preserve"> In the same year, only 18 per cent of leasehold contracts included women as leaseholders. Government figures show that out of a total of 2.3 million agrarian reform beneficiaries by the end of 2012, only 29 per cent were women.</w:t>
      </w:r>
      <w:r>
        <w:rPr>
          <w:rStyle w:val="FootnoteReference"/>
          <w:rFonts w:eastAsiaTheme="minorHAnsi"/>
          <w:lang w:val="en-US" w:eastAsia="en-US"/>
        </w:rPr>
        <w:footnoteReference w:id="98"/>
      </w:r>
      <w:r>
        <w:rPr>
          <w:rFonts w:eastAsiaTheme="minorHAnsi"/>
          <w:lang w:val="en-US" w:eastAsia="en-US"/>
        </w:rPr>
        <w:t xml:space="preserve"> </w:t>
      </w:r>
    </w:p>
    <w:p w:rsidR="00DA2D81" w:rsidRDefault="00DA2D81" w:rsidP="00F226A5">
      <w:pPr>
        <w:pStyle w:val="AllensHeading3"/>
        <w:numPr>
          <w:ilvl w:val="0"/>
          <w:numId w:val="0"/>
        </w:numPr>
        <w:ind w:left="1418"/>
        <w:rPr>
          <w:rFonts w:eastAsiaTheme="minorHAnsi"/>
          <w:lang w:val="en-US" w:eastAsia="en-US"/>
        </w:rPr>
      </w:pPr>
      <w:r>
        <w:rPr>
          <w:rFonts w:eastAsiaTheme="minorHAnsi"/>
          <w:lang w:val="en-US" w:eastAsia="en-US"/>
        </w:rPr>
        <w:t xml:space="preserve">This has not gone without </w:t>
      </w:r>
      <w:r w:rsidR="0084406E">
        <w:rPr>
          <w:rFonts w:eastAsiaTheme="minorHAnsi"/>
          <w:lang w:val="en-US" w:eastAsia="en-US"/>
        </w:rPr>
        <w:t>notice</w:t>
      </w:r>
      <w:r>
        <w:rPr>
          <w:rFonts w:eastAsiaTheme="minorHAnsi"/>
          <w:lang w:val="en-US" w:eastAsia="en-US"/>
        </w:rPr>
        <w:t xml:space="preserve"> by the Philippine government and laws have been enacted to ensure that women's legal rights to property are promoted and protected. For example, </w:t>
      </w:r>
      <w:r w:rsidR="007E61D7">
        <w:rPr>
          <w:rFonts w:eastAsiaTheme="minorHAnsi"/>
          <w:lang w:val="en-US" w:eastAsia="en-US"/>
        </w:rPr>
        <w:t>CARP</w:t>
      </w:r>
      <w:r w:rsidRPr="003F1450">
        <w:rPr>
          <w:rFonts w:eastAsiaTheme="minorHAnsi"/>
          <w:lang w:val="en-US" w:eastAsia="en-US"/>
        </w:rPr>
        <w:t xml:space="preserve"> provided eq</w:t>
      </w:r>
      <w:r w:rsidR="00D940C0">
        <w:rPr>
          <w:rFonts w:eastAsiaTheme="minorHAnsi"/>
          <w:lang w:val="en-US" w:eastAsia="en-US"/>
        </w:rPr>
        <w:t xml:space="preserve">ual rights to ownership of land. However, </w:t>
      </w:r>
      <w:r w:rsidRPr="003F1450">
        <w:rPr>
          <w:rFonts w:eastAsiaTheme="minorHAnsi"/>
          <w:lang w:val="en-US" w:eastAsia="en-US"/>
        </w:rPr>
        <w:t>funding constraints slowed down its</w:t>
      </w:r>
      <w:r w:rsidR="00EE3A10">
        <w:rPr>
          <w:rFonts w:eastAsiaTheme="minorHAnsi"/>
          <w:lang w:val="en-US" w:eastAsia="en-US"/>
        </w:rPr>
        <w:t xml:space="preserve"> </w:t>
      </w:r>
      <w:r w:rsidRPr="003F1450">
        <w:rPr>
          <w:rFonts w:eastAsiaTheme="minorHAnsi"/>
          <w:lang w:val="en-US" w:eastAsia="en-US"/>
        </w:rPr>
        <w:t>application which has subsequently limited its impact.</w:t>
      </w:r>
      <w:r w:rsidRPr="003F1450">
        <w:rPr>
          <w:rFonts w:eastAsiaTheme="minorHAnsi"/>
          <w:vertAlign w:val="superscript"/>
          <w:lang w:val="en-US" w:eastAsia="en-US"/>
        </w:rPr>
        <w:footnoteReference w:id="99"/>
      </w:r>
      <w:r w:rsidR="00EE3A10">
        <w:rPr>
          <w:rFonts w:eastAsiaTheme="minorHAnsi"/>
          <w:lang w:val="en-US" w:eastAsia="en-US"/>
        </w:rPr>
        <w:t xml:space="preserve"> </w:t>
      </w:r>
      <w:r>
        <w:rPr>
          <w:rFonts w:eastAsiaTheme="minorHAnsi"/>
          <w:lang w:val="en-US" w:eastAsia="en-US"/>
        </w:rPr>
        <w:t>In the wake of Typhoon Haiyan, mechanisms to ensure that land tenure documentation rightfully records women as owners of land were introduced</w:t>
      </w:r>
      <w:r w:rsidR="002A35E4">
        <w:rPr>
          <w:rFonts w:eastAsiaTheme="minorHAnsi"/>
          <w:lang w:val="en-US" w:eastAsia="en-US"/>
        </w:rPr>
        <w:t>.</w:t>
      </w:r>
      <w:r w:rsidR="002A35E4">
        <w:rPr>
          <w:rStyle w:val="FootnoteReference"/>
          <w:rFonts w:eastAsiaTheme="minorHAnsi"/>
          <w:lang w:val="en-US" w:eastAsia="en-US"/>
        </w:rPr>
        <w:footnoteReference w:id="100"/>
      </w:r>
      <w:r w:rsidR="002A35E4">
        <w:rPr>
          <w:rFonts w:eastAsiaTheme="minorHAnsi"/>
          <w:lang w:val="en-US" w:eastAsia="en-US"/>
        </w:rPr>
        <w:t xml:space="preserve"> U</w:t>
      </w:r>
      <w:r>
        <w:rPr>
          <w:rFonts w:eastAsiaTheme="minorHAnsi"/>
          <w:lang w:val="en-US" w:eastAsia="en-US"/>
        </w:rPr>
        <w:t xml:space="preserve">nder the </w:t>
      </w:r>
      <w:r w:rsidRPr="005925C1">
        <w:rPr>
          <w:rFonts w:eastAsiaTheme="minorHAnsi"/>
          <w:i/>
          <w:lang w:val="en-US" w:eastAsia="en-US"/>
        </w:rPr>
        <w:t>Magna Carta for Women</w:t>
      </w:r>
      <w:r>
        <w:rPr>
          <w:rFonts w:eastAsiaTheme="minorHAnsi"/>
          <w:lang w:val="en-US" w:eastAsia="en-US"/>
        </w:rPr>
        <w:t>, women have 'priority rights',</w:t>
      </w:r>
      <w:r w:rsidR="002A35E4">
        <w:rPr>
          <w:rStyle w:val="FootnoteReference"/>
          <w:rFonts w:eastAsiaTheme="minorHAnsi"/>
          <w:lang w:val="en-US" w:eastAsia="en-US"/>
        </w:rPr>
        <w:footnoteReference w:id="101"/>
      </w:r>
      <w:r>
        <w:rPr>
          <w:rFonts w:eastAsiaTheme="minorHAnsi"/>
          <w:lang w:val="en-US" w:eastAsia="en-US"/>
        </w:rPr>
        <w:t xml:space="preserve"> which include equal rights to the issue of registered land titles (patents),</w:t>
      </w:r>
      <w:r w:rsidR="002A35E4">
        <w:rPr>
          <w:rStyle w:val="FootnoteReference"/>
          <w:rFonts w:eastAsiaTheme="minorHAnsi"/>
          <w:lang w:val="en-US" w:eastAsia="en-US"/>
        </w:rPr>
        <w:footnoteReference w:id="102"/>
      </w:r>
      <w:r>
        <w:rPr>
          <w:rFonts w:eastAsiaTheme="minorHAnsi"/>
          <w:lang w:val="en-US" w:eastAsia="en-US"/>
        </w:rPr>
        <w:t xml:space="preserve"> and as beneficiaries of land ownership under the Agrarian Reform Program.</w:t>
      </w:r>
      <w:r>
        <w:rPr>
          <w:rStyle w:val="FootnoteReference"/>
          <w:rFonts w:eastAsiaTheme="minorHAnsi"/>
          <w:lang w:val="en-US" w:eastAsia="en-US"/>
        </w:rPr>
        <w:footnoteReference w:id="103"/>
      </w:r>
      <w:r>
        <w:rPr>
          <w:rFonts w:eastAsiaTheme="minorHAnsi"/>
          <w:lang w:val="en-US" w:eastAsia="en-US"/>
        </w:rPr>
        <w:t xml:space="preserve"> </w:t>
      </w:r>
    </w:p>
    <w:p w:rsidR="00C16574" w:rsidRDefault="00DA2D81" w:rsidP="00F226A5">
      <w:pPr>
        <w:pStyle w:val="AllensHeading3"/>
        <w:numPr>
          <w:ilvl w:val="0"/>
          <w:numId w:val="0"/>
        </w:numPr>
        <w:ind w:left="1418"/>
        <w:rPr>
          <w:rFonts w:eastAsiaTheme="minorHAnsi"/>
          <w:lang w:val="en-US" w:eastAsia="en-US"/>
        </w:rPr>
      </w:pPr>
      <w:r>
        <w:rPr>
          <w:rFonts w:eastAsiaTheme="minorHAnsi"/>
          <w:lang w:val="en-US" w:eastAsia="en-US"/>
        </w:rPr>
        <w:t xml:space="preserve">Under the </w:t>
      </w:r>
      <w:r w:rsidR="008A0004" w:rsidRPr="008A0004">
        <w:rPr>
          <w:rFonts w:eastAsiaTheme="minorHAnsi" w:cs="Arial"/>
          <w:lang w:eastAsia="en-US"/>
        </w:rPr>
        <w:t>Fisheries Code</w:t>
      </w:r>
      <w:r>
        <w:rPr>
          <w:rFonts w:eastAsiaTheme="minorHAnsi"/>
          <w:lang w:val="en-US" w:eastAsia="en-US"/>
        </w:rPr>
        <w:t xml:space="preserve">, women are </w:t>
      </w:r>
      <w:proofErr w:type="spellStart"/>
      <w:r w:rsidR="000A5AC0">
        <w:rPr>
          <w:rFonts w:eastAsiaTheme="minorHAnsi"/>
          <w:lang w:val="en-US" w:eastAsia="en-US"/>
        </w:rPr>
        <w:t>recognise</w:t>
      </w:r>
      <w:r>
        <w:rPr>
          <w:rFonts w:eastAsiaTheme="minorHAnsi"/>
          <w:lang w:val="en-US" w:eastAsia="en-US"/>
        </w:rPr>
        <w:t>d</w:t>
      </w:r>
      <w:proofErr w:type="spellEnd"/>
      <w:r>
        <w:rPr>
          <w:rFonts w:eastAsiaTheme="minorHAnsi"/>
          <w:lang w:val="en-US" w:eastAsia="en-US"/>
        </w:rPr>
        <w:t xml:space="preserve"> as '</w:t>
      </w:r>
      <w:proofErr w:type="spellStart"/>
      <w:r>
        <w:rPr>
          <w:rFonts w:eastAsiaTheme="minorHAnsi"/>
          <w:lang w:val="en-US" w:eastAsia="en-US"/>
        </w:rPr>
        <w:t>fisherfolk</w:t>
      </w:r>
      <w:proofErr w:type="spellEnd"/>
      <w:r>
        <w:rPr>
          <w:rFonts w:eastAsiaTheme="minorHAnsi"/>
          <w:lang w:val="en-US" w:eastAsia="en-US"/>
        </w:rPr>
        <w:t xml:space="preserve">', and thus have equal </w:t>
      </w:r>
      <w:r w:rsidR="0084406E">
        <w:rPr>
          <w:rFonts w:eastAsiaTheme="minorHAnsi"/>
          <w:lang w:val="en-US" w:eastAsia="en-US"/>
        </w:rPr>
        <w:t>entitlement</w:t>
      </w:r>
      <w:r>
        <w:rPr>
          <w:rFonts w:eastAsiaTheme="minorHAnsi"/>
          <w:lang w:val="en-US" w:eastAsia="en-US"/>
        </w:rPr>
        <w:t xml:space="preserve"> to any land granted as part of any </w:t>
      </w:r>
      <w:proofErr w:type="spellStart"/>
      <w:r>
        <w:rPr>
          <w:rFonts w:eastAsiaTheme="minorHAnsi"/>
          <w:lang w:val="en-US" w:eastAsia="en-US"/>
        </w:rPr>
        <w:t>fisherfolk</w:t>
      </w:r>
      <w:proofErr w:type="spellEnd"/>
      <w:r>
        <w:rPr>
          <w:rFonts w:eastAsiaTheme="minorHAnsi"/>
          <w:lang w:val="en-US" w:eastAsia="en-US"/>
        </w:rPr>
        <w:t xml:space="preserve"> settlement program.</w:t>
      </w:r>
      <w:r w:rsidR="002A35E4">
        <w:rPr>
          <w:rStyle w:val="FootnoteReference"/>
          <w:rFonts w:eastAsiaTheme="minorHAnsi"/>
          <w:lang w:val="en-US" w:eastAsia="en-US"/>
        </w:rPr>
        <w:footnoteReference w:id="104"/>
      </w:r>
    </w:p>
    <w:p w:rsidR="00DA2D81" w:rsidRPr="00C205E4" w:rsidRDefault="00C16574" w:rsidP="00C16574">
      <w:pPr>
        <w:spacing w:before="0" w:after="200" w:line="276" w:lineRule="auto"/>
        <w:rPr>
          <w:rFonts w:eastAsiaTheme="minorHAnsi"/>
          <w:lang w:val="en-US" w:eastAsia="en-US"/>
        </w:rPr>
      </w:pPr>
      <w:r>
        <w:rPr>
          <w:rFonts w:eastAsiaTheme="minorHAnsi"/>
          <w:lang w:val="en-US" w:eastAsia="en-US"/>
        </w:rPr>
        <w:br w:type="page"/>
      </w:r>
    </w:p>
    <w:p w:rsidR="009C5481" w:rsidRPr="00763491" w:rsidRDefault="009C5481" w:rsidP="009C5481">
      <w:pPr>
        <w:pStyle w:val="AllensHeading2"/>
        <w:rPr>
          <w:rFonts w:eastAsiaTheme="minorHAnsi"/>
          <w:lang w:val="en-US" w:eastAsia="en-US"/>
        </w:rPr>
      </w:pPr>
      <w:bookmarkStart w:id="47" w:name="Indigenous"/>
      <w:bookmarkStart w:id="48" w:name="_Toc513116255"/>
      <w:bookmarkEnd w:id="47"/>
      <w:r w:rsidRPr="00763491">
        <w:rPr>
          <w:rFonts w:eastAsiaTheme="minorHAnsi"/>
          <w:lang w:val="en-US" w:eastAsia="en-US"/>
        </w:rPr>
        <w:lastRenderedPageBreak/>
        <w:t>Indigenous groups</w:t>
      </w:r>
      <w:bookmarkEnd w:id="48"/>
    </w:p>
    <w:p w:rsidR="00755333" w:rsidRPr="00763491" w:rsidRDefault="0042050D" w:rsidP="00661934">
      <w:pPr>
        <w:pStyle w:val="NormalIndent"/>
        <w:rPr>
          <w:rFonts w:eastAsiaTheme="minorHAnsi"/>
        </w:rPr>
      </w:pPr>
      <w:r>
        <w:rPr>
          <w:rFonts w:eastAsiaTheme="minorHAnsi"/>
          <w:lang w:eastAsia="en-US"/>
        </w:rPr>
        <w:t xml:space="preserve">Under </w:t>
      </w:r>
      <w:r w:rsidR="00755333" w:rsidRPr="00D940C0">
        <w:rPr>
          <w:rFonts w:eastAsiaTheme="minorHAnsi"/>
          <w:lang w:eastAsia="en-US"/>
        </w:rPr>
        <w:t>IPRA, ICCs and IPs are defined as</w:t>
      </w:r>
      <w:r w:rsidR="00755333" w:rsidRPr="00763491">
        <w:rPr>
          <w:rFonts w:eastAsiaTheme="minorHAnsi"/>
          <w:lang w:eastAsia="en-US"/>
        </w:rPr>
        <w:t>:</w:t>
      </w:r>
      <w:r w:rsidR="00755333" w:rsidRPr="00763491">
        <w:rPr>
          <w:rStyle w:val="FootnoteReference"/>
          <w:rFonts w:eastAsiaTheme="minorHAnsi"/>
          <w:lang w:eastAsia="en-US"/>
        </w:rPr>
        <w:footnoteReference w:id="105"/>
      </w:r>
    </w:p>
    <w:p w:rsidR="00755333" w:rsidRPr="00D940C0" w:rsidRDefault="00755333" w:rsidP="00661934">
      <w:pPr>
        <w:pStyle w:val="NormalIndent"/>
        <w:ind w:left="1451"/>
        <w:rPr>
          <w:rFonts w:eastAsiaTheme="minorHAnsi"/>
          <w:sz w:val="18"/>
          <w:lang w:eastAsia="en-US"/>
        </w:rPr>
      </w:pPr>
      <w:r w:rsidRPr="00D940C0">
        <w:rPr>
          <w:rFonts w:eastAsiaTheme="minorHAnsi"/>
          <w:sz w:val="18"/>
          <w:lang w:eastAsia="en-US"/>
        </w:rPr>
        <w:t>a group of people or homogenous societies identified by self-ascription and ascription by others, who have continuously lived as organized community on communally bounded and defined territory, and who have, under claims of ownership since time immemorial, occupied, possessed and utilized such territories, sharing common bonds of language, customs, traditions and other distinctive cultural traits, or who have, through resistance to political, social and cultural inroads of colonization, non-indigenous religions and cultures, became historically differentiated from the majority of Filipinos.</w:t>
      </w:r>
    </w:p>
    <w:p w:rsidR="00755333" w:rsidRPr="00763491" w:rsidRDefault="008523C5" w:rsidP="00661934">
      <w:pPr>
        <w:pStyle w:val="NormalIndent"/>
        <w:rPr>
          <w:rFonts w:eastAsiaTheme="minorHAnsi"/>
          <w:lang w:eastAsia="en-US"/>
        </w:rPr>
      </w:pPr>
      <w:r>
        <w:rPr>
          <w:rFonts w:eastAsiaTheme="minorHAnsi"/>
          <w:lang w:eastAsia="en-US"/>
        </w:rPr>
        <w:t xml:space="preserve">The </w:t>
      </w:r>
      <w:r w:rsidR="00755333" w:rsidRPr="00D940C0">
        <w:rPr>
          <w:rFonts w:eastAsiaTheme="minorHAnsi"/>
          <w:lang w:eastAsia="en-US"/>
        </w:rPr>
        <w:t>IPRA definition also applies to people who descend from populations inhabiting the Philippines prior</w:t>
      </w:r>
      <w:r w:rsidR="00755333" w:rsidRPr="00763491">
        <w:rPr>
          <w:rFonts w:eastAsiaTheme="minorHAnsi"/>
          <w:lang w:eastAsia="en-US"/>
        </w:rPr>
        <w:t xml:space="preserve"> to conquest or coloni</w:t>
      </w:r>
      <w:r w:rsidR="00661934">
        <w:rPr>
          <w:rFonts w:eastAsiaTheme="minorHAnsi"/>
          <w:lang w:eastAsia="en-US"/>
        </w:rPr>
        <w:t>s</w:t>
      </w:r>
      <w:r w:rsidR="00755333" w:rsidRPr="00763491">
        <w:rPr>
          <w:rFonts w:eastAsiaTheme="minorHAnsi"/>
          <w:lang w:eastAsia="en-US"/>
        </w:rPr>
        <w:t>ation or the establishment of present state boundaries, who retain their institutions but have been displaced or remain outside of their ancestral domains.</w:t>
      </w:r>
      <w:r w:rsidR="00755333" w:rsidRPr="00763491">
        <w:rPr>
          <w:rStyle w:val="FootnoteReference"/>
          <w:rFonts w:eastAsiaTheme="minorHAnsi"/>
          <w:lang w:eastAsia="en-US"/>
        </w:rPr>
        <w:footnoteReference w:id="106"/>
      </w:r>
    </w:p>
    <w:p w:rsidR="00755333" w:rsidRPr="00763491" w:rsidRDefault="00755333" w:rsidP="00661934">
      <w:pPr>
        <w:pStyle w:val="NormalIndent"/>
        <w:rPr>
          <w:rFonts w:eastAsiaTheme="minorHAnsi"/>
          <w:lang w:eastAsia="en-US"/>
        </w:rPr>
      </w:pPr>
      <w:r w:rsidRPr="00763491">
        <w:t xml:space="preserve">The </w:t>
      </w:r>
      <w:r w:rsidR="00D940C0">
        <w:rPr>
          <w:rFonts w:eastAsiaTheme="minorHAnsi"/>
          <w:lang w:eastAsia="en-US"/>
        </w:rPr>
        <w:t xml:space="preserve">United Nations Development Program </w:t>
      </w:r>
      <w:r w:rsidRPr="00763491">
        <w:rPr>
          <w:rFonts w:eastAsiaTheme="minorHAnsi"/>
          <w:lang w:eastAsia="en-US"/>
        </w:rPr>
        <w:t>notes that the P</w:t>
      </w:r>
      <w:r w:rsidR="00661934">
        <w:rPr>
          <w:rFonts w:eastAsiaTheme="minorHAnsi"/>
          <w:lang w:eastAsia="en-US"/>
        </w:rPr>
        <w:t xml:space="preserve">hilippines </w:t>
      </w:r>
      <w:proofErr w:type="gramStart"/>
      <w:r w:rsidR="00661934">
        <w:rPr>
          <w:rFonts w:eastAsiaTheme="minorHAnsi"/>
          <w:lang w:eastAsia="en-US"/>
        </w:rPr>
        <w:t>has</w:t>
      </w:r>
      <w:proofErr w:type="gramEnd"/>
      <w:r w:rsidR="00661934">
        <w:rPr>
          <w:rFonts w:eastAsiaTheme="minorHAnsi"/>
          <w:lang w:eastAsia="en-US"/>
        </w:rPr>
        <w:t xml:space="preserve"> approximately 14–</w:t>
      </w:r>
      <w:r w:rsidRPr="00763491">
        <w:rPr>
          <w:rFonts w:eastAsiaTheme="minorHAnsi"/>
          <w:lang w:eastAsia="en-US"/>
        </w:rPr>
        <w:t xml:space="preserve">17 million </w:t>
      </w:r>
      <w:r w:rsidR="00D52C75">
        <w:rPr>
          <w:rFonts w:eastAsiaTheme="minorHAnsi"/>
          <w:lang w:eastAsia="en-US"/>
        </w:rPr>
        <w:t>IPs</w:t>
      </w:r>
      <w:r w:rsidRPr="00763491">
        <w:rPr>
          <w:rFonts w:eastAsiaTheme="minorHAnsi"/>
          <w:lang w:eastAsia="en-US"/>
        </w:rPr>
        <w:t>, comprising 110 ethno-linguistic groups and predominantly inhabiting Northern Luzon (Cordillera), Mindan</w:t>
      </w:r>
      <w:r w:rsidR="00BA702D">
        <w:rPr>
          <w:rFonts w:eastAsiaTheme="minorHAnsi"/>
          <w:lang w:eastAsia="en-US"/>
        </w:rPr>
        <w:t>a</w:t>
      </w:r>
      <w:r w:rsidRPr="00763491">
        <w:rPr>
          <w:rFonts w:eastAsiaTheme="minorHAnsi"/>
          <w:lang w:eastAsia="en-US"/>
        </w:rPr>
        <w:t xml:space="preserve">o and </w:t>
      </w:r>
      <w:proofErr w:type="spellStart"/>
      <w:r w:rsidRPr="00763491">
        <w:rPr>
          <w:rFonts w:eastAsiaTheme="minorHAnsi"/>
          <w:lang w:eastAsia="en-US"/>
        </w:rPr>
        <w:t>Visayas</w:t>
      </w:r>
      <w:proofErr w:type="spellEnd"/>
      <w:r w:rsidRPr="00763491">
        <w:rPr>
          <w:rFonts w:eastAsiaTheme="minorHAnsi"/>
          <w:lang w:eastAsia="en-US"/>
        </w:rPr>
        <w:t>.</w:t>
      </w:r>
      <w:r w:rsidRPr="00763491">
        <w:rPr>
          <w:rStyle w:val="FootnoteReference"/>
          <w:rFonts w:eastAsiaTheme="minorHAnsi" w:cs="Arial"/>
          <w:lang w:eastAsia="en-US"/>
        </w:rPr>
        <w:footnoteReference w:id="107"/>
      </w:r>
      <w:r w:rsidRPr="00763491">
        <w:rPr>
          <w:rFonts w:eastAsiaTheme="minorHAnsi"/>
          <w:lang w:eastAsia="en-US"/>
        </w:rPr>
        <w:t xml:space="preserve"> Anders</w:t>
      </w:r>
      <w:r w:rsidR="0031563D">
        <w:rPr>
          <w:rFonts w:eastAsiaTheme="minorHAnsi"/>
          <w:lang w:eastAsia="en-US"/>
        </w:rPr>
        <w:t>e</w:t>
      </w:r>
      <w:r w:rsidRPr="00763491">
        <w:rPr>
          <w:rFonts w:eastAsiaTheme="minorHAnsi"/>
          <w:lang w:eastAsia="en-US"/>
        </w:rPr>
        <w:t xml:space="preserve">n suggests that </w:t>
      </w:r>
      <w:r w:rsidR="00D52C75">
        <w:rPr>
          <w:rFonts w:eastAsiaTheme="minorHAnsi"/>
          <w:lang w:eastAsia="en-US"/>
        </w:rPr>
        <w:t xml:space="preserve">IPs </w:t>
      </w:r>
      <w:r w:rsidRPr="00763491">
        <w:rPr>
          <w:rFonts w:eastAsiaTheme="minorHAnsi"/>
          <w:lang w:eastAsia="en-US"/>
        </w:rPr>
        <w:t>represent 12</w:t>
      </w:r>
      <w:r w:rsidR="00D52C75">
        <w:rPr>
          <w:rFonts w:eastAsiaTheme="minorHAnsi"/>
          <w:lang w:eastAsia="en-US"/>
        </w:rPr>
        <w:t xml:space="preserve"> </w:t>
      </w:r>
      <w:r w:rsidR="00460585">
        <w:rPr>
          <w:rFonts w:eastAsiaTheme="minorHAnsi"/>
          <w:lang w:eastAsia="en-US"/>
        </w:rPr>
        <w:t>per</w:t>
      </w:r>
      <w:r w:rsidR="00700CC4">
        <w:rPr>
          <w:rFonts w:eastAsiaTheme="minorHAnsi"/>
          <w:lang w:eastAsia="en-US"/>
        </w:rPr>
        <w:t xml:space="preserve"> </w:t>
      </w:r>
      <w:r w:rsidR="00460585">
        <w:rPr>
          <w:rFonts w:eastAsiaTheme="minorHAnsi"/>
          <w:lang w:eastAsia="en-US"/>
        </w:rPr>
        <w:t>cent</w:t>
      </w:r>
      <w:r w:rsidRPr="00763491">
        <w:rPr>
          <w:rFonts w:eastAsiaTheme="minorHAnsi"/>
          <w:lang w:eastAsia="en-US"/>
        </w:rPr>
        <w:t xml:space="preserve"> of the </w:t>
      </w:r>
      <w:r w:rsidR="00D52C75">
        <w:rPr>
          <w:rFonts w:eastAsiaTheme="minorHAnsi"/>
          <w:lang w:eastAsia="en-US"/>
        </w:rPr>
        <w:t xml:space="preserve">Filipino </w:t>
      </w:r>
      <w:r w:rsidRPr="00763491">
        <w:rPr>
          <w:rFonts w:eastAsiaTheme="minorHAnsi"/>
          <w:lang w:eastAsia="en-US"/>
        </w:rPr>
        <w:t>population,</w:t>
      </w:r>
      <w:r w:rsidRPr="00763491">
        <w:rPr>
          <w:rStyle w:val="FootnoteReference"/>
          <w:rFonts w:eastAsiaTheme="minorHAnsi" w:cs="Arial"/>
          <w:lang w:eastAsia="en-US"/>
        </w:rPr>
        <w:footnoteReference w:id="108"/>
      </w:r>
      <w:r w:rsidRPr="00763491">
        <w:rPr>
          <w:rFonts w:eastAsiaTheme="minorHAnsi"/>
          <w:lang w:eastAsia="en-US"/>
        </w:rPr>
        <w:t xml:space="preserve"> and Truong and </w:t>
      </w:r>
      <w:proofErr w:type="spellStart"/>
      <w:r w:rsidRPr="00763491">
        <w:rPr>
          <w:rFonts w:eastAsiaTheme="minorHAnsi"/>
          <w:lang w:eastAsia="en-US"/>
        </w:rPr>
        <w:t>Genotiva</w:t>
      </w:r>
      <w:proofErr w:type="spellEnd"/>
      <w:r w:rsidRPr="00763491">
        <w:rPr>
          <w:rFonts w:eastAsiaTheme="minorHAnsi"/>
          <w:lang w:eastAsia="en-US"/>
        </w:rPr>
        <w:t xml:space="preserve"> suggest that </w:t>
      </w:r>
      <w:r w:rsidR="00D52C75">
        <w:rPr>
          <w:rFonts w:eastAsiaTheme="minorHAnsi"/>
          <w:lang w:eastAsia="en-US"/>
        </w:rPr>
        <w:t xml:space="preserve">IPs </w:t>
      </w:r>
      <w:r w:rsidR="00661934">
        <w:rPr>
          <w:rFonts w:eastAsiaTheme="minorHAnsi"/>
          <w:lang w:eastAsia="en-US"/>
        </w:rPr>
        <w:t>represent 10–</w:t>
      </w:r>
      <w:r w:rsidRPr="00763491">
        <w:rPr>
          <w:rFonts w:eastAsiaTheme="minorHAnsi"/>
          <w:lang w:eastAsia="en-US"/>
        </w:rPr>
        <w:t>15</w:t>
      </w:r>
      <w:r w:rsidR="00D52C75">
        <w:rPr>
          <w:rFonts w:eastAsiaTheme="minorHAnsi"/>
          <w:lang w:eastAsia="en-US"/>
        </w:rPr>
        <w:t xml:space="preserve"> </w:t>
      </w:r>
      <w:r w:rsidR="00460585">
        <w:rPr>
          <w:rFonts w:eastAsiaTheme="minorHAnsi"/>
          <w:lang w:eastAsia="en-US"/>
        </w:rPr>
        <w:t>per</w:t>
      </w:r>
      <w:r w:rsidR="00661934">
        <w:rPr>
          <w:rFonts w:eastAsiaTheme="minorHAnsi"/>
          <w:lang w:eastAsia="en-US"/>
        </w:rPr>
        <w:t xml:space="preserve"> </w:t>
      </w:r>
      <w:r w:rsidR="00460585">
        <w:rPr>
          <w:rFonts w:eastAsiaTheme="minorHAnsi"/>
          <w:lang w:eastAsia="en-US"/>
        </w:rPr>
        <w:t>cent</w:t>
      </w:r>
      <w:r w:rsidR="00700CC4">
        <w:rPr>
          <w:rFonts w:eastAsiaTheme="minorHAnsi"/>
          <w:lang w:eastAsia="en-US"/>
        </w:rPr>
        <w:t xml:space="preserve"> of the </w:t>
      </w:r>
      <w:r w:rsidRPr="00763491">
        <w:rPr>
          <w:rFonts w:eastAsiaTheme="minorHAnsi"/>
          <w:lang w:eastAsia="en-US"/>
        </w:rPr>
        <w:t>population.</w:t>
      </w:r>
      <w:r w:rsidRPr="00763491">
        <w:rPr>
          <w:rStyle w:val="FootnoteReference"/>
          <w:rFonts w:eastAsiaTheme="minorHAnsi" w:cs="Arial"/>
          <w:lang w:eastAsia="en-US"/>
        </w:rPr>
        <w:footnoteReference w:id="109"/>
      </w:r>
    </w:p>
    <w:p w:rsidR="009C5481" w:rsidRPr="00763491" w:rsidRDefault="009C5481" w:rsidP="009C5481">
      <w:pPr>
        <w:pStyle w:val="AllensHeading3"/>
        <w:rPr>
          <w:rFonts w:eastAsiaTheme="minorHAnsi"/>
          <w:b/>
          <w:lang w:val="en-US" w:eastAsia="en-US"/>
        </w:rPr>
      </w:pPr>
      <w:bookmarkStart w:id="50" w:name="_Ref496881188"/>
      <w:r w:rsidRPr="00763491">
        <w:rPr>
          <w:rFonts w:eastAsiaTheme="minorHAnsi"/>
          <w:b/>
          <w:lang w:val="en-US" w:eastAsia="en-US"/>
        </w:rPr>
        <w:t xml:space="preserve">Is indigenous customary ownership (or custodianship) of land legally </w:t>
      </w:r>
      <w:proofErr w:type="spellStart"/>
      <w:r w:rsidRPr="00763491">
        <w:rPr>
          <w:rFonts w:eastAsiaTheme="minorHAnsi"/>
          <w:b/>
          <w:lang w:val="en-US" w:eastAsia="en-US"/>
        </w:rPr>
        <w:t>recogni</w:t>
      </w:r>
      <w:r w:rsidR="00085412">
        <w:rPr>
          <w:rFonts w:eastAsiaTheme="minorHAnsi"/>
          <w:b/>
          <w:lang w:val="en-US" w:eastAsia="en-US"/>
        </w:rPr>
        <w:t>s</w:t>
      </w:r>
      <w:r w:rsidRPr="00763491">
        <w:rPr>
          <w:rFonts w:eastAsiaTheme="minorHAnsi"/>
          <w:b/>
          <w:lang w:val="en-US" w:eastAsia="en-US"/>
        </w:rPr>
        <w:t>ed</w:t>
      </w:r>
      <w:proofErr w:type="spellEnd"/>
      <w:r w:rsidRPr="00763491">
        <w:rPr>
          <w:rFonts w:eastAsiaTheme="minorHAnsi"/>
          <w:b/>
          <w:lang w:val="en-US" w:eastAsia="en-US"/>
        </w:rPr>
        <w:t>?</w:t>
      </w:r>
      <w:bookmarkEnd w:id="50"/>
    </w:p>
    <w:p w:rsidR="00755333" w:rsidRPr="00D940C0" w:rsidRDefault="00755333" w:rsidP="00F226A5">
      <w:pPr>
        <w:pStyle w:val="AllensHeading3"/>
        <w:numPr>
          <w:ilvl w:val="0"/>
          <w:numId w:val="0"/>
        </w:numPr>
        <w:ind w:left="1418"/>
        <w:rPr>
          <w:rFonts w:eastAsiaTheme="minorHAnsi"/>
          <w:lang w:eastAsia="en-US"/>
        </w:rPr>
      </w:pPr>
      <w:r w:rsidRPr="00D940C0">
        <w:rPr>
          <w:rFonts w:eastAsiaTheme="minorHAnsi" w:cs="Arial"/>
          <w:lang w:eastAsia="en-US"/>
        </w:rPr>
        <w:t xml:space="preserve">Indigenous customary ownership of land is legally recognised </w:t>
      </w:r>
      <w:r w:rsidR="0042050D">
        <w:rPr>
          <w:rFonts w:eastAsiaTheme="minorHAnsi" w:cs="Arial"/>
          <w:lang w:eastAsia="en-US"/>
        </w:rPr>
        <w:t xml:space="preserve">under </w:t>
      </w:r>
      <w:r w:rsidRPr="00D940C0">
        <w:rPr>
          <w:rFonts w:eastAsiaTheme="minorHAnsi" w:cs="Arial"/>
          <w:lang w:eastAsia="en-US"/>
        </w:rPr>
        <w:t>IPRA, which</w:t>
      </w:r>
      <w:r w:rsidRPr="00D940C0">
        <w:t xml:space="preserve"> grants </w:t>
      </w:r>
      <w:r w:rsidR="00D52C75">
        <w:t xml:space="preserve">IPs </w:t>
      </w:r>
      <w:r w:rsidRPr="00D940C0">
        <w:t>'f</w:t>
      </w:r>
      <w:r w:rsidRPr="00D940C0">
        <w:rPr>
          <w:rFonts w:eastAsiaTheme="minorHAnsi" w:cs="Arial"/>
          <w:lang w:eastAsia="en-US"/>
        </w:rPr>
        <w:t>ull authority to determine the extent and boundaries of ancestral lands through self-delineation … dispose of the resources inside their ancestral domains'.</w:t>
      </w:r>
      <w:r w:rsidRPr="00D940C0">
        <w:rPr>
          <w:rStyle w:val="FootnoteReference"/>
          <w:rFonts w:eastAsiaTheme="minorHAnsi" w:cs="Arial"/>
          <w:lang w:eastAsia="en-US"/>
        </w:rPr>
        <w:footnoteReference w:id="110"/>
      </w:r>
      <w:r w:rsidRPr="00D940C0">
        <w:rPr>
          <w:rFonts w:eastAsiaTheme="minorHAnsi" w:cs="Arial"/>
          <w:lang w:eastAsia="en-US"/>
        </w:rPr>
        <w:t xml:space="preserve"> This is facilitated by </w:t>
      </w:r>
      <w:r w:rsidR="00D52C75">
        <w:rPr>
          <w:rFonts w:eastAsiaTheme="minorHAnsi" w:cs="Arial"/>
          <w:lang w:eastAsia="en-US"/>
        </w:rPr>
        <w:t xml:space="preserve">IPs </w:t>
      </w:r>
      <w:r w:rsidRPr="00D940C0">
        <w:rPr>
          <w:rFonts w:eastAsiaTheme="minorHAnsi" w:cs="Arial"/>
          <w:lang w:eastAsia="en-US"/>
        </w:rPr>
        <w:t>themselves engaging in a process of 'self-mapping and self-determination'.</w:t>
      </w:r>
      <w:r w:rsidRPr="00D940C0">
        <w:rPr>
          <w:rStyle w:val="FootnoteReference"/>
          <w:rFonts w:eastAsiaTheme="minorHAnsi" w:cs="Arial"/>
          <w:lang w:eastAsia="en-US"/>
        </w:rPr>
        <w:footnoteReference w:id="111"/>
      </w:r>
      <w:r w:rsidRPr="00D940C0">
        <w:rPr>
          <w:rFonts w:eastAsiaTheme="minorHAnsi" w:cs="Arial"/>
          <w:lang w:eastAsia="en-US"/>
        </w:rPr>
        <w:t xml:space="preserve"> </w:t>
      </w:r>
      <w:r w:rsidRPr="00D940C0">
        <w:rPr>
          <w:rFonts w:eastAsiaTheme="minorHAnsi"/>
          <w:lang w:eastAsia="en-US"/>
        </w:rPr>
        <w:t>It has a number of key elements:</w:t>
      </w:r>
    </w:p>
    <w:p w:rsidR="003552F7" w:rsidRPr="009059BF" w:rsidRDefault="003552F7" w:rsidP="003552F7">
      <w:pPr>
        <w:pStyle w:val="AllensHeading4"/>
        <w:rPr>
          <w:rFonts w:eastAsiaTheme="minorHAnsi" w:cs="Arial"/>
          <w:b/>
          <w:lang w:eastAsia="en-US"/>
        </w:rPr>
      </w:pPr>
      <w:r w:rsidRPr="009059BF">
        <w:rPr>
          <w:rFonts w:eastAsiaTheme="minorHAnsi" w:cs="Arial"/>
          <w:b/>
          <w:lang w:eastAsia="en-US"/>
        </w:rPr>
        <w:t xml:space="preserve">General principles, whereby the </w:t>
      </w:r>
      <w:r w:rsidR="00AC3749">
        <w:rPr>
          <w:rFonts w:eastAsiaTheme="minorHAnsi" w:cs="Arial"/>
          <w:b/>
          <w:lang w:eastAsia="en-US"/>
        </w:rPr>
        <w:t>s</w:t>
      </w:r>
      <w:r w:rsidRPr="009059BF">
        <w:rPr>
          <w:rFonts w:eastAsiaTheme="minorHAnsi" w:cs="Arial"/>
          <w:b/>
          <w:lang w:eastAsia="en-US"/>
        </w:rPr>
        <w:t>tate:</w:t>
      </w:r>
    </w:p>
    <w:p w:rsidR="003552F7" w:rsidRPr="003552F7" w:rsidRDefault="003552F7" w:rsidP="003552F7">
      <w:pPr>
        <w:pStyle w:val="AllensHeading5"/>
        <w:rPr>
          <w:rFonts w:eastAsiaTheme="minorHAnsi" w:cs="Arial"/>
          <w:lang w:eastAsia="en-US"/>
        </w:rPr>
      </w:pPr>
      <w:r w:rsidRPr="00D940C0">
        <w:rPr>
          <w:rFonts w:eastAsiaTheme="minorHAnsi"/>
          <w:lang w:eastAsia="en-US"/>
        </w:rPr>
        <w:t>'recogni</w:t>
      </w:r>
      <w:r>
        <w:rPr>
          <w:rFonts w:eastAsiaTheme="minorHAnsi"/>
          <w:lang w:eastAsia="en-US"/>
        </w:rPr>
        <w:t>s</w:t>
      </w:r>
      <w:r w:rsidRPr="00D940C0">
        <w:rPr>
          <w:rFonts w:eastAsiaTheme="minorHAnsi"/>
          <w:lang w:eastAsia="en-US"/>
        </w:rPr>
        <w:t xml:space="preserve">e[s] and promote[s] all the rights of Indigenous Cultural Communities / Indigenous Peoples … within the framework of the Constitution', including protecting rights to 'ancestral domains' and recognising customary law's application to 'property rights or relations in determining the ownership </w:t>
      </w:r>
      <w:r>
        <w:rPr>
          <w:rFonts w:eastAsiaTheme="minorHAnsi"/>
          <w:lang w:eastAsia="en-US"/>
        </w:rPr>
        <w:t>and extent of ancestral domain';</w:t>
      </w:r>
      <w:r w:rsidRPr="00D940C0">
        <w:rPr>
          <w:rStyle w:val="FootnoteReference"/>
          <w:rFonts w:eastAsiaTheme="minorHAnsi"/>
          <w:lang w:eastAsia="en-US"/>
        </w:rPr>
        <w:footnoteReference w:id="112"/>
      </w:r>
    </w:p>
    <w:p w:rsidR="003552F7" w:rsidRPr="008F67CC" w:rsidRDefault="003552F7" w:rsidP="003552F7">
      <w:pPr>
        <w:pStyle w:val="AllensHeading5"/>
        <w:rPr>
          <w:rFonts w:eastAsiaTheme="minorHAnsi" w:cs="Arial"/>
          <w:lang w:eastAsia="en-US"/>
        </w:rPr>
      </w:pPr>
      <w:r w:rsidRPr="008F67CC">
        <w:rPr>
          <w:rFonts w:eastAsiaTheme="minorHAnsi"/>
          <w:lang w:eastAsia="en-US"/>
        </w:rPr>
        <w:t>recogni</w:t>
      </w:r>
      <w:r>
        <w:rPr>
          <w:rFonts w:eastAsiaTheme="minorHAnsi"/>
          <w:lang w:eastAsia="en-US"/>
        </w:rPr>
        <w:t>s</w:t>
      </w:r>
      <w:r w:rsidRPr="008F67CC">
        <w:rPr>
          <w:rFonts w:eastAsiaTheme="minorHAnsi"/>
          <w:lang w:eastAsia="en-US"/>
        </w:rPr>
        <w:t xml:space="preserve">es </w:t>
      </w:r>
      <w:r>
        <w:rPr>
          <w:rFonts w:eastAsiaTheme="minorHAnsi"/>
          <w:lang w:eastAsia="en-US"/>
        </w:rPr>
        <w:t>'</w:t>
      </w:r>
      <w:r w:rsidRPr="008F67CC">
        <w:rPr>
          <w:rFonts w:eastAsiaTheme="minorHAnsi"/>
          <w:lang w:eastAsia="en-US"/>
        </w:rPr>
        <w:t>the inherent right of ICCs/IPs to self-governance and self-determination and respects the integrity of their values, practices and institutions';</w:t>
      </w:r>
      <w:r>
        <w:rPr>
          <w:rStyle w:val="FootnoteReference"/>
          <w:rFonts w:eastAsiaTheme="minorHAnsi"/>
          <w:lang w:eastAsia="en-US"/>
        </w:rPr>
        <w:footnoteReference w:id="113"/>
      </w:r>
      <w:r w:rsidRPr="008F67CC">
        <w:rPr>
          <w:rFonts w:eastAsiaTheme="minorHAnsi"/>
          <w:lang w:eastAsia="en-US"/>
        </w:rPr>
        <w:t xml:space="preserve"> and</w:t>
      </w:r>
    </w:p>
    <w:p w:rsidR="003552F7" w:rsidRPr="00680498" w:rsidRDefault="003552F7" w:rsidP="003552F7">
      <w:pPr>
        <w:pStyle w:val="AllensHeading5"/>
        <w:rPr>
          <w:rFonts w:eastAsiaTheme="minorHAnsi" w:cs="Arial"/>
          <w:lang w:eastAsia="en-US"/>
        </w:rPr>
      </w:pPr>
      <w:proofErr w:type="gramStart"/>
      <w:r w:rsidRPr="00680498">
        <w:rPr>
          <w:rFonts w:eastAsiaTheme="minorHAnsi"/>
          <w:lang w:eastAsia="en-US"/>
        </w:rPr>
        <w:lastRenderedPageBreak/>
        <w:t>shall</w:t>
      </w:r>
      <w:proofErr w:type="gramEnd"/>
      <w:r w:rsidRPr="00680498">
        <w:rPr>
          <w:rFonts w:eastAsiaTheme="minorHAnsi"/>
          <w:lang w:eastAsia="en-US"/>
        </w:rPr>
        <w:t xml:space="preserve"> not </w:t>
      </w:r>
      <w:r w:rsidRPr="00EA5804">
        <w:rPr>
          <w:rFonts w:eastAsiaTheme="minorHAnsi"/>
          <w:lang w:eastAsia="en-US"/>
        </w:rPr>
        <w:t>'force indigenous individuals to abandon their lands, territories and means of subsistence, or relocate them in special centres for military purposes under any discriminatory condition</w:t>
      </w:r>
      <w:r w:rsidRPr="00680498">
        <w:rPr>
          <w:rFonts w:eastAsiaTheme="minorHAnsi"/>
          <w:lang w:eastAsia="en-US"/>
        </w:rPr>
        <w:t>.'</w:t>
      </w:r>
      <w:r>
        <w:rPr>
          <w:rStyle w:val="FootnoteReference"/>
          <w:rFonts w:eastAsiaTheme="minorHAnsi"/>
          <w:lang w:eastAsia="en-US"/>
        </w:rPr>
        <w:footnoteReference w:id="114"/>
      </w:r>
    </w:p>
    <w:p w:rsidR="008F67CC" w:rsidRPr="009059BF" w:rsidRDefault="008F67CC" w:rsidP="00D940C0">
      <w:pPr>
        <w:pStyle w:val="AllensHeading4"/>
        <w:rPr>
          <w:rFonts w:eastAsiaTheme="minorHAnsi" w:cs="Arial"/>
          <w:b/>
          <w:lang w:eastAsia="en-US"/>
        </w:rPr>
      </w:pPr>
      <w:r w:rsidRPr="009059BF">
        <w:rPr>
          <w:rFonts w:eastAsiaTheme="minorHAnsi" w:cs="Arial"/>
          <w:b/>
          <w:lang w:eastAsia="en-US"/>
        </w:rPr>
        <w:t xml:space="preserve">Recognition of rights to ancestral </w:t>
      </w:r>
      <w:r w:rsidR="00C52522" w:rsidRPr="009059BF">
        <w:rPr>
          <w:rFonts w:eastAsiaTheme="minorHAnsi" w:cs="Arial"/>
          <w:b/>
          <w:lang w:eastAsia="en-US"/>
        </w:rPr>
        <w:t>domains</w:t>
      </w:r>
      <w:r w:rsidR="00C52522" w:rsidRPr="009059BF">
        <w:rPr>
          <w:rStyle w:val="FootnoteReference"/>
          <w:rFonts w:eastAsiaTheme="minorHAnsi" w:cs="Arial"/>
          <w:b/>
          <w:lang w:eastAsia="en-US"/>
        </w:rPr>
        <w:footnoteReference w:id="115"/>
      </w:r>
      <w:r w:rsidR="00C52522" w:rsidRPr="009059BF">
        <w:rPr>
          <w:rFonts w:eastAsiaTheme="minorHAnsi" w:cs="Arial"/>
          <w:b/>
          <w:lang w:eastAsia="en-US"/>
        </w:rPr>
        <w:t xml:space="preserve"> and lands</w:t>
      </w:r>
      <w:r w:rsidR="003552F7" w:rsidRPr="009059BF">
        <w:rPr>
          <w:rFonts w:eastAsiaTheme="minorHAnsi" w:cs="Arial"/>
          <w:b/>
          <w:lang w:eastAsia="en-US"/>
        </w:rPr>
        <w:t>:</w:t>
      </w:r>
      <w:r w:rsidR="00C52522" w:rsidRPr="009059BF">
        <w:rPr>
          <w:rStyle w:val="FootnoteReference"/>
          <w:rFonts w:eastAsiaTheme="minorHAnsi" w:cs="Arial"/>
          <w:b/>
          <w:lang w:eastAsia="en-US"/>
        </w:rPr>
        <w:footnoteReference w:id="116"/>
      </w:r>
    </w:p>
    <w:p w:rsidR="008F67CC" w:rsidRPr="00680498" w:rsidRDefault="008F67CC" w:rsidP="008F67CC">
      <w:pPr>
        <w:pStyle w:val="AllensHeading5"/>
        <w:rPr>
          <w:rFonts w:eastAsiaTheme="minorHAnsi" w:cs="Arial"/>
          <w:lang w:eastAsia="en-US"/>
        </w:rPr>
      </w:pPr>
      <w:r w:rsidRPr="008F67CC">
        <w:rPr>
          <w:rFonts w:eastAsiaTheme="minorHAnsi"/>
          <w:lang w:eastAsia="en-US"/>
        </w:rPr>
        <w:t xml:space="preserve">IPRA </w:t>
      </w:r>
      <w:r>
        <w:rPr>
          <w:rFonts w:eastAsiaTheme="minorHAnsi"/>
          <w:lang w:eastAsia="en-US"/>
        </w:rPr>
        <w:t>recognises and protects rights of</w:t>
      </w:r>
      <w:r w:rsidRPr="00680498">
        <w:rPr>
          <w:rFonts w:eastAsiaTheme="minorHAnsi"/>
          <w:lang w:eastAsia="en-US"/>
        </w:rPr>
        <w:t xml:space="preserve"> ownership and possession to</w:t>
      </w:r>
      <w:r>
        <w:rPr>
          <w:rFonts w:eastAsiaTheme="minorHAnsi"/>
          <w:lang w:eastAsia="en-US"/>
        </w:rPr>
        <w:t xml:space="preserve"> ancestral domains, including </w:t>
      </w:r>
      <w:r w:rsidRPr="00680498">
        <w:rPr>
          <w:rFonts w:eastAsiaTheme="minorHAnsi"/>
          <w:lang w:eastAsia="en-US"/>
        </w:rPr>
        <w:t>rights to:</w:t>
      </w:r>
    </w:p>
    <w:p w:rsidR="008F67CC" w:rsidRPr="0086175B" w:rsidRDefault="008F67CC" w:rsidP="008F67CC">
      <w:pPr>
        <w:pStyle w:val="AllensHeading6"/>
        <w:rPr>
          <w:rFonts w:eastAsiaTheme="minorHAnsi" w:cs="Arial"/>
          <w:lang w:eastAsia="en-US"/>
        </w:rPr>
      </w:pPr>
      <w:r w:rsidRPr="0086175B">
        <w:rPr>
          <w:rFonts w:eastAsiaTheme="minorHAnsi"/>
          <w:lang w:eastAsia="en-US"/>
        </w:rPr>
        <w:t>Claim ownership over lands, bodies of water;</w:t>
      </w:r>
      <w:r w:rsidR="00C52522">
        <w:rPr>
          <w:rStyle w:val="FootnoteReference"/>
          <w:rFonts w:eastAsiaTheme="minorHAnsi"/>
          <w:lang w:eastAsia="en-US"/>
        </w:rPr>
        <w:footnoteReference w:id="117"/>
      </w:r>
    </w:p>
    <w:p w:rsidR="008F67CC" w:rsidRPr="00035187" w:rsidRDefault="008F67CC" w:rsidP="008F67CC">
      <w:pPr>
        <w:pStyle w:val="AllensHeading6"/>
        <w:rPr>
          <w:rFonts w:eastAsiaTheme="minorHAnsi" w:cs="Arial"/>
          <w:lang w:eastAsia="en-US"/>
        </w:rPr>
      </w:pPr>
      <w:r w:rsidRPr="00035187">
        <w:rPr>
          <w:rFonts w:eastAsiaTheme="minorHAnsi"/>
          <w:lang w:eastAsia="en-US"/>
        </w:rPr>
        <w:t>Develop lands and use natural resources, including the 'right to effective measures by the government to prevent any interference with, alienation and encroachment upon these rights';</w:t>
      </w:r>
      <w:r w:rsidR="00C52522">
        <w:rPr>
          <w:rStyle w:val="FootnoteReference"/>
          <w:rFonts w:eastAsiaTheme="minorHAnsi"/>
          <w:lang w:eastAsia="en-US"/>
        </w:rPr>
        <w:footnoteReference w:id="118"/>
      </w:r>
    </w:p>
    <w:p w:rsidR="008F67CC" w:rsidRPr="00035187" w:rsidRDefault="008F67CC" w:rsidP="008F67CC">
      <w:pPr>
        <w:pStyle w:val="AllensHeading6"/>
        <w:rPr>
          <w:rFonts w:eastAsiaTheme="minorHAnsi" w:cs="Arial"/>
          <w:lang w:eastAsia="en-US"/>
        </w:rPr>
      </w:pPr>
      <w:r w:rsidRPr="00035187">
        <w:rPr>
          <w:rFonts w:eastAsiaTheme="minorHAnsi"/>
          <w:lang w:eastAsia="en-US"/>
        </w:rPr>
        <w:t>Not be removed from the territory without their 'free and prior informed consent, nor through any means other than eminent domain.' Furthermore, relocated people shall 'be fully compensated for any resulting loss or injury';</w:t>
      </w:r>
      <w:r w:rsidR="00C52522">
        <w:rPr>
          <w:rStyle w:val="FootnoteReference"/>
          <w:rFonts w:eastAsiaTheme="minorHAnsi"/>
          <w:lang w:eastAsia="en-US"/>
        </w:rPr>
        <w:footnoteReference w:id="119"/>
      </w:r>
    </w:p>
    <w:p w:rsidR="008F67CC" w:rsidRPr="0086175B" w:rsidRDefault="008F67CC" w:rsidP="008F67CC">
      <w:pPr>
        <w:pStyle w:val="AllensHeading6"/>
        <w:rPr>
          <w:rFonts w:eastAsiaTheme="minorHAnsi" w:cs="Arial"/>
          <w:lang w:eastAsia="en-US"/>
        </w:rPr>
      </w:pPr>
      <w:r w:rsidRPr="00035187">
        <w:rPr>
          <w:rFonts w:eastAsiaTheme="minorHAnsi"/>
          <w:lang w:eastAsia="en-US"/>
        </w:rPr>
        <w:t>Be resettled where displacement has occurred, return to abandoned lands, and, enjoy security of tenure over resettled lands where an ancestral domain ceases to</w:t>
      </w:r>
      <w:r>
        <w:rPr>
          <w:rFonts w:eastAsiaTheme="minorHAnsi"/>
          <w:lang w:eastAsia="en-US"/>
        </w:rPr>
        <w:t xml:space="preserve"> exist or return to a previous settlement is not possible;</w:t>
      </w:r>
      <w:r w:rsidR="00C52522">
        <w:rPr>
          <w:rStyle w:val="FootnoteReference"/>
          <w:rFonts w:eastAsiaTheme="minorHAnsi"/>
          <w:lang w:eastAsia="en-US"/>
        </w:rPr>
        <w:footnoteReference w:id="120"/>
      </w:r>
    </w:p>
    <w:p w:rsidR="008F67CC" w:rsidRPr="008F67CC" w:rsidRDefault="008F67CC" w:rsidP="008F67CC">
      <w:pPr>
        <w:pStyle w:val="AllensHeading6"/>
        <w:rPr>
          <w:rFonts w:eastAsiaTheme="minorHAnsi" w:cs="Arial"/>
          <w:lang w:eastAsia="en-US"/>
        </w:rPr>
      </w:pPr>
      <w:r w:rsidRPr="0086175B">
        <w:rPr>
          <w:rFonts w:eastAsiaTheme="minorHAnsi"/>
          <w:lang w:eastAsia="en-US"/>
        </w:rPr>
        <w:t>Resolve land conflicts in</w:t>
      </w:r>
      <w:r w:rsidR="00C52522">
        <w:rPr>
          <w:rFonts w:eastAsiaTheme="minorHAnsi"/>
          <w:lang w:eastAsia="en-US"/>
        </w:rPr>
        <w:t xml:space="preserve"> accordance with customary laws;</w:t>
      </w:r>
      <w:r w:rsidR="00C52522">
        <w:rPr>
          <w:rStyle w:val="FootnoteReference"/>
          <w:rFonts w:eastAsiaTheme="minorHAnsi"/>
          <w:lang w:eastAsia="en-US"/>
        </w:rPr>
        <w:footnoteReference w:id="121"/>
      </w:r>
      <w:r w:rsidR="00C52522">
        <w:rPr>
          <w:rFonts w:eastAsiaTheme="minorHAnsi"/>
          <w:lang w:eastAsia="en-US"/>
        </w:rPr>
        <w:t xml:space="preserve"> and</w:t>
      </w:r>
    </w:p>
    <w:p w:rsidR="00C52522" w:rsidRPr="00C52522" w:rsidRDefault="00C52522" w:rsidP="00C52522">
      <w:pPr>
        <w:pStyle w:val="AllensHeading6"/>
        <w:rPr>
          <w:rFonts w:eastAsiaTheme="minorHAnsi" w:cs="Arial"/>
          <w:lang w:eastAsia="en-US"/>
        </w:rPr>
      </w:pPr>
      <w:r>
        <w:rPr>
          <w:rFonts w:eastAsiaTheme="minorHAnsi"/>
          <w:lang w:eastAsia="en-US"/>
        </w:rPr>
        <w:t>R</w:t>
      </w:r>
      <w:r w:rsidR="008F67CC" w:rsidRPr="0086175B">
        <w:rPr>
          <w:rFonts w:eastAsiaTheme="minorHAnsi"/>
          <w:lang w:eastAsia="en-US"/>
        </w:rPr>
        <w:t>edemption and to transfer land and property, subject to customary law and traditions.</w:t>
      </w:r>
      <w:r w:rsidR="008F67CC">
        <w:rPr>
          <w:rStyle w:val="FootnoteReference"/>
          <w:rFonts w:eastAsiaTheme="minorHAnsi"/>
          <w:lang w:eastAsia="en-US"/>
        </w:rPr>
        <w:footnoteReference w:id="122"/>
      </w:r>
    </w:p>
    <w:p w:rsidR="003552F7" w:rsidRPr="003552F7" w:rsidRDefault="00C52522" w:rsidP="008F67CC">
      <w:pPr>
        <w:pStyle w:val="AllensHeading5"/>
        <w:rPr>
          <w:rFonts w:eastAsiaTheme="minorHAnsi" w:cs="Arial"/>
          <w:lang w:eastAsia="en-US"/>
        </w:rPr>
      </w:pPr>
      <w:r w:rsidRPr="003552F7">
        <w:rPr>
          <w:rFonts w:eastAsiaTheme="minorHAnsi"/>
          <w:lang w:eastAsia="en-US"/>
        </w:rPr>
        <w:t xml:space="preserve">IPRA provides a mechanism for ICCs/IPs to obtain a </w:t>
      </w:r>
      <w:r w:rsidR="00B23591">
        <w:rPr>
          <w:rFonts w:eastAsiaTheme="minorHAnsi"/>
          <w:lang w:eastAsia="en-US"/>
        </w:rPr>
        <w:t xml:space="preserve">CADT </w:t>
      </w:r>
      <w:r w:rsidR="008064AA">
        <w:rPr>
          <w:rFonts w:eastAsiaTheme="minorHAnsi"/>
          <w:lang w:eastAsia="en-US"/>
        </w:rPr>
        <w:t>(issued by NCIP)</w:t>
      </w:r>
      <w:r w:rsidRPr="003552F7">
        <w:rPr>
          <w:rFonts w:eastAsiaTheme="minorHAnsi"/>
          <w:lang w:eastAsia="en-US"/>
        </w:rPr>
        <w:t>,</w:t>
      </w:r>
      <w:r w:rsidR="00DD57BE" w:rsidRPr="00035187">
        <w:rPr>
          <w:rStyle w:val="FootnoteReference"/>
          <w:rFonts w:eastAsiaTheme="minorHAnsi"/>
          <w:lang w:eastAsia="en-US"/>
        </w:rPr>
        <w:footnoteReference w:id="123"/>
      </w:r>
      <w:r w:rsidRPr="003552F7">
        <w:rPr>
          <w:rFonts w:eastAsiaTheme="minorHAnsi"/>
          <w:lang w:eastAsia="en-US"/>
        </w:rPr>
        <w:t xml:space="preserve"> which formally recognises 'rights of possession and ownership of ICCs/IPs over their ancestral domains identified and delineated in accordance with this law',</w:t>
      </w:r>
      <w:r w:rsidRPr="00035187">
        <w:rPr>
          <w:rStyle w:val="FootnoteReference"/>
          <w:rFonts w:eastAsiaTheme="minorHAnsi"/>
          <w:lang w:eastAsia="en-US"/>
        </w:rPr>
        <w:footnoteReference w:id="124"/>
      </w:r>
      <w:r w:rsidRPr="003552F7">
        <w:rPr>
          <w:rFonts w:eastAsiaTheme="minorHAnsi"/>
          <w:lang w:eastAsia="en-US"/>
        </w:rPr>
        <w:t xml:space="preserve"> as well as native title rights</w:t>
      </w:r>
      <w:r w:rsidRPr="00035187">
        <w:rPr>
          <w:rStyle w:val="FootnoteReference"/>
          <w:rFonts w:eastAsiaTheme="minorHAnsi"/>
        </w:rPr>
        <w:footnoteReference w:id="125"/>
      </w:r>
      <w:r w:rsidRPr="003552F7">
        <w:rPr>
          <w:rFonts w:eastAsiaTheme="minorHAnsi"/>
          <w:lang w:eastAsia="en-US"/>
        </w:rPr>
        <w:t xml:space="preserve"> ('pre-conquest rights to lands and domains').</w:t>
      </w:r>
      <w:r w:rsidRPr="00035187">
        <w:rPr>
          <w:rStyle w:val="FootnoteReference"/>
          <w:rFonts w:eastAsiaTheme="minorHAnsi"/>
          <w:lang w:eastAsia="en-US"/>
        </w:rPr>
        <w:footnoteReference w:id="126"/>
      </w:r>
      <w:r w:rsidRPr="003552F7">
        <w:rPr>
          <w:rFonts w:eastAsiaTheme="minorHAnsi"/>
          <w:lang w:eastAsia="en-US"/>
        </w:rPr>
        <w:t xml:space="preserve"> Areas within the ancestral domains are </w:t>
      </w:r>
      <w:r w:rsidRPr="003552F7">
        <w:rPr>
          <w:rFonts w:eastAsiaTheme="minorHAnsi"/>
          <w:lang w:eastAsia="en-US"/>
        </w:rPr>
        <w:lastRenderedPageBreak/>
        <w:t>presumed to be communally held,</w:t>
      </w:r>
      <w:r w:rsidRPr="00035187">
        <w:rPr>
          <w:rStyle w:val="FootnoteReference"/>
          <w:rFonts w:eastAsiaTheme="minorHAnsi"/>
          <w:lang w:eastAsia="en-US"/>
        </w:rPr>
        <w:footnoteReference w:id="127"/>
      </w:r>
      <w:r w:rsidRPr="003552F7">
        <w:rPr>
          <w:rFonts w:eastAsiaTheme="minorHAnsi"/>
          <w:lang w:eastAsia="en-US"/>
        </w:rPr>
        <w:t xml:space="preserve"> and property rights in ancestral domains already existing, or vested, are recognised and respected.</w:t>
      </w:r>
      <w:r w:rsidRPr="00035187">
        <w:rPr>
          <w:rStyle w:val="FootnoteReference"/>
          <w:rFonts w:eastAsiaTheme="minorHAnsi"/>
          <w:lang w:eastAsia="en-US"/>
        </w:rPr>
        <w:footnoteReference w:id="128"/>
      </w:r>
    </w:p>
    <w:p w:rsidR="003552F7" w:rsidRPr="009059BF" w:rsidRDefault="003552F7" w:rsidP="003552F7">
      <w:pPr>
        <w:pStyle w:val="AllensHeading4"/>
        <w:rPr>
          <w:rFonts w:eastAsiaTheme="minorHAnsi"/>
          <w:b/>
          <w:lang w:eastAsia="en-US"/>
        </w:rPr>
      </w:pPr>
      <w:r w:rsidRPr="009059BF">
        <w:rPr>
          <w:rFonts w:eastAsiaTheme="minorHAnsi"/>
          <w:b/>
          <w:lang w:eastAsia="en-US"/>
        </w:rPr>
        <w:t>Identification and delineation of ancestral domains:</w:t>
      </w:r>
    </w:p>
    <w:p w:rsidR="003552F7" w:rsidRPr="00035187" w:rsidRDefault="003552F7" w:rsidP="003552F7">
      <w:pPr>
        <w:pStyle w:val="AllensHeading5"/>
        <w:rPr>
          <w:rFonts w:eastAsiaTheme="minorHAnsi"/>
          <w:lang w:eastAsia="en-US"/>
        </w:rPr>
      </w:pPr>
      <w:r w:rsidRPr="00035187">
        <w:rPr>
          <w:rFonts w:eastAsiaTheme="minorHAnsi"/>
          <w:lang w:eastAsia="en-US"/>
        </w:rPr>
        <w:t>Identifying and delineating ancestral domains shall take place in accordance with procedures including delineating a perimeter, in</w:t>
      </w:r>
      <w:r>
        <w:rPr>
          <w:rFonts w:eastAsiaTheme="minorHAnsi"/>
          <w:lang w:eastAsia="en-US"/>
        </w:rPr>
        <w:t xml:space="preserve"> </w:t>
      </w:r>
      <w:r w:rsidRPr="00035187">
        <w:rPr>
          <w:rFonts w:eastAsiaTheme="minorHAnsi"/>
          <w:lang w:eastAsia="en-US"/>
        </w:rPr>
        <w:t>coordination with the community</w:t>
      </w:r>
      <w:r w:rsidRPr="007A7F2A">
        <w:rPr>
          <w:rFonts w:eastAsiaTheme="minorHAnsi"/>
          <w:lang w:eastAsia="en-US"/>
        </w:rPr>
        <w:t xml:space="preserve"> </w:t>
      </w:r>
      <w:r w:rsidRPr="00035187">
        <w:rPr>
          <w:rFonts w:eastAsiaTheme="minorHAnsi"/>
          <w:lang w:eastAsia="en-US"/>
        </w:rPr>
        <w:t>and involving their 'genuine involvement and participation'.</w:t>
      </w:r>
      <w:r w:rsidRPr="00035187">
        <w:rPr>
          <w:rStyle w:val="FootnoteReference"/>
          <w:rFonts w:eastAsiaTheme="minorHAnsi"/>
          <w:lang w:eastAsia="en-US"/>
        </w:rPr>
        <w:footnoteReference w:id="129"/>
      </w:r>
    </w:p>
    <w:p w:rsidR="003552F7" w:rsidRDefault="003552F7" w:rsidP="003552F7">
      <w:pPr>
        <w:pStyle w:val="AllensHeading5"/>
        <w:rPr>
          <w:rFonts w:eastAsiaTheme="minorHAnsi"/>
          <w:lang w:eastAsia="en-US"/>
        </w:rPr>
      </w:pPr>
      <w:r w:rsidRPr="00035187">
        <w:rPr>
          <w:rFonts w:eastAsiaTheme="minorHAnsi"/>
          <w:lang w:eastAsia="en-US"/>
        </w:rPr>
        <w:t>Government bodies cannot issue, renew or grant concessions, licences or leases, or enter certain agreements 'without prior certification from the NCIP that the area affected does not overlap with any ancestral domain'. The ICCs/IPs' free and prior informed consent is required</w:t>
      </w:r>
      <w:r w:rsidR="00DD57BE">
        <w:rPr>
          <w:rFonts w:eastAsiaTheme="minorHAnsi"/>
          <w:lang w:eastAsia="en-US"/>
        </w:rPr>
        <w:t>.</w:t>
      </w:r>
      <w:r w:rsidRPr="00035187">
        <w:rPr>
          <w:rStyle w:val="FootnoteReference"/>
          <w:rFonts w:eastAsiaTheme="minorHAnsi"/>
          <w:lang w:eastAsia="en-US"/>
        </w:rPr>
        <w:footnoteReference w:id="130"/>
      </w:r>
    </w:p>
    <w:p w:rsidR="003552F7" w:rsidRPr="009059BF" w:rsidRDefault="003552F7" w:rsidP="00035187">
      <w:pPr>
        <w:pStyle w:val="AllensHeading4"/>
        <w:rPr>
          <w:rFonts w:eastAsiaTheme="minorHAnsi"/>
          <w:b/>
          <w:lang w:eastAsia="en-US"/>
        </w:rPr>
      </w:pPr>
      <w:r w:rsidRPr="009059BF">
        <w:rPr>
          <w:rFonts w:eastAsiaTheme="minorHAnsi"/>
          <w:b/>
          <w:lang w:eastAsia="en-US"/>
        </w:rPr>
        <w:t>Communal and individual claims</w:t>
      </w:r>
    </w:p>
    <w:p w:rsidR="00755333" w:rsidRPr="00035187" w:rsidRDefault="003552F7" w:rsidP="003552F7">
      <w:pPr>
        <w:pStyle w:val="AllensHeading5"/>
        <w:rPr>
          <w:rFonts w:eastAsiaTheme="minorHAnsi"/>
          <w:lang w:eastAsia="en-US"/>
        </w:rPr>
      </w:pPr>
      <w:r>
        <w:rPr>
          <w:rFonts w:eastAsiaTheme="minorHAnsi"/>
          <w:lang w:eastAsia="en-US"/>
        </w:rPr>
        <w:t>IPRA permits c</w:t>
      </w:r>
      <w:r w:rsidR="00755333" w:rsidRPr="00035187">
        <w:rPr>
          <w:rFonts w:eastAsiaTheme="minorHAnsi"/>
          <w:lang w:eastAsia="en-US"/>
        </w:rPr>
        <w:t>ommunal claims (concerning 'land, resources and rights thereon; belonging to the whole community within a defined territory')</w:t>
      </w:r>
      <w:r>
        <w:rPr>
          <w:rFonts w:eastAsiaTheme="minorHAnsi"/>
          <w:lang w:eastAsia="en-US"/>
        </w:rPr>
        <w:t>,</w:t>
      </w:r>
      <w:r w:rsidR="00755333" w:rsidRPr="00035187">
        <w:rPr>
          <w:rStyle w:val="FootnoteReference"/>
          <w:rFonts w:eastAsiaTheme="minorHAnsi"/>
          <w:lang w:eastAsia="en-US"/>
        </w:rPr>
        <w:footnoteReference w:id="131"/>
      </w:r>
      <w:r w:rsidR="00755333" w:rsidRPr="00035187">
        <w:rPr>
          <w:rFonts w:eastAsiaTheme="minorHAnsi"/>
          <w:lang w:eastAsia="en-US"/>
        </w:rPr>
        <w:t xml:space="preserve"> and individual claims (concerning 'land and rights thereon which have been devolved to individuals, families and clans including, but not limited to, residential lots, rice terraces or paddies and tree lots')</w:t>
      </w:r>
      <w:r w:rsidR="00FE0112">
        <w:rPr>
          <w:rFonts w:eastAsiaTheme="minorHAnsi"/>
          <w:lang w:eastAsia="en-US"/>
        </w:rPr>
        <w:t>.</w:t>
      </w:r>
      <w:r w:rsidR="00755333" w:rsidRPr="00035187">
        <w:rPr>
          <w:rStyle w:val="FootnoteReference"/>
          <w:rFonts w:eastAsiaTheme="minorHAnsi"/>
          <w:lang w:eastAsia="en-US"/>
        </w:rPr>
        <w:footnoteReference w:id="132"/>
      </w:r>
    </w:p>
    <w:p w:rsidR="00755333" w:rsidRPr="00035187" w:rsidRDefault="008C3F69" w:rsidP="008C3F69">
      <w:pPr>
        <w:pStyle w:val="AllensHeading5"/>
        <w:rPr>
          <w:rFonts w:eastAsiaTheme="minorHAnsi" w:cs="Arial"/>
          <w:lang w:eastAsia="en-US"/>
        </w:rPr>
      </w:pPr>
      <w:r>
        <w:rPr>
          <w:rFonts w:eastAsiaTheme="minorHAnsi"/>
        </w:rPr>
        <w:t xml:space="preserve">IPRA permits </w:t>
      </w:r>
      <w:r w:rsidR="007A2932">
        <w:rPr>
          <w:rFonts w:eastAsiaTheme="minorHAnsi"/>
        </w:rPr>
        <w:t>i</w:t>
      </w:r>
      <w:r w:rsidR="00755333" w:rsidRPr="00035187">
        <w:rPr>
          <w:rFonts w:eastAsiaTheme="minorHAnsi"/>
          <w:lang w:eastAsia="en-US"/>
        </w:rPr>
        <w:t xml:space="preserve">ndividual members of cultural communities in continuous possession and occupation of individually-owned ancestral lands since time immemorial or for not less than thirty years immediately preceding approval </w:t>
      </w:r>
      <w:r w:rsidR="0042050D">
        <w:rPr>
          <w:rFonts w:eastAsiaTheme="minorHAnsi"/>
          <w:lang w:eastAsia="en-US"/>
        </w:rPr>
        <w:t xml:space="preserve">granted under IPRA </w:t>
      </w:r>
      <w:r w:rsidR="007A2932">
        <w:rPr>
          <w:rFonts w:eastAsiaTheme="minorHAnsi"/>
          <w:lang w:eastAsia="en-US"/>
        </w:rPr>
        <w:t xml:space="preserve">to </w:t>
      </w:r>
      <w:r w:rsidR="00755333" w:rsidRPr="00035187">
        <w:rPr>
          <w:rFonts w:eastAsiaTheme="minorHAnsi"/>
        </w:rPr>
        <w:t>secure title to lands (where uncontested).</w:t>
      </w:r>
      <w:r w:rsidR="00755333" w:rsidRPr="00035187">
        <w:rPr>
          <w:rStyle w:val="FootnoteReference"/>
          <w:rFonts w:eastAsiaTheme="minorHAnsi"/>
        </w:rPr>
        <w:footnoteReference w:id="133"/>
      </w:r>
    </w:p>
    <w:p w:rsidR="00755333" w:rsidRPr="00035187" w:rsidRDefault="001F55C6" w:rsidP="00522D50">
      <w:pPr>
        <w:pStyle w:val="NormalIndent"/>
        <w:ind w:left="1418"/>
        <w:rPr>
          <w:rFonts w:eastAsiaTheme="minorHAnsi" w:cs="Arial"/>
          <w:lang w:eastAsia="en-US"/>
        </w:rPr>
      </w:pPr>
      <w:r>
        <w:rPr>
          <w:rFonts w:eastAsiaTheme="minorHAnsi"/>
          <w:lang w:eastAsia="en-US"/>
        </w:rPr>
        <w:t xml:space="preserve">Therefore, </w:t>
      </w:r>
      <w:r w:rsidR="00755333" w:rsidRPr="00035187">
        <w:rPr>
          <w:rFonts w:eastAsiaTheme="minorHAnsi"/>
          <w:lang w:eastAsia="en-US"/>
        </w:rPr>
        <w:t xml:space="preserve">IPRA contains numerous benefits, such as formally articulating a conception of </w:t>
      </w:r>
      <w:r w:rsidR="005B7220">
        <w:rPr>
          <w:rFonts w:eastAsiaTheme="minorHAnsi"/>
          <w:lang w:eastAsia="en-US"/>
        </w:rPr>
        <w:t>i</w:t>
      </w:r>
      <w:r w:rsidR="00755333" w:rsidRPr="00035187">
        <w:rPr>
          <w:rFonts w:eastAsiaTheme="minorHAnsi"/>
          <w:lang w:eastAsia="en-US"/>
        </w:rPr>
        <w:t>ndigenous ownership, whereby 'ancestral domains and all resources found therein shall serve as the material bases of their cultural integrity', and belong 'to all generations and therefore cannot be sold, disposed or destroyed'.</w:t>
      </w:r>
      <w:r w:rsidR="00755333" w:rsidRPr="00035187">
        <w:rPr>
          <w:rStyle w:val="FootnoteReference"/>
          <w:rFonts w:eastAsiaTheme="minorHAnsi"/>
          <w:lang w:eastAsia="en-US"/>
        </w:rPr>
        <w:footnoteReference w:id="134"/>
      </w:r>
      <w:r>
        <w:rPr>
          <w:rFonts w:eastAsiaTheme="minorHAnsi"/>
          <w:lang w:eastAsia="en-US"/>
        </w:rPr>
        <w:t xml:space="preserve"> Furthermore, it provides </w:t>
      </w:r>
      <w:r w:rsidRPr="00035187">
        <w:rPr>
          <w:rFonts w:eastAsiaTheme="minorHAnsi"/>
          <w:lang w:eastAsia="en-US"/>
        </w:rPr>
        <w:t>penalties for unauthori</w:t>
      </w:r>
      <w:r>
        <w:rPr>
          <w:rFonts w:eastAsiaTheme="minorHAnsi"/>
          <w:lang w:eastAsia="en-US"/>
        </w:rPr>
        <w:t>s</w:t>
      </w:r>
      <w:r w:rsidRPr="00035187">
        <w:rPr>
          <w:rFonts w:eastAsiaTheme="minorHAnsi"/>
          <w:lang w:eastAsia="en-US"/>
        </w:rPr>
        <w:t xml:space="preserve">ed and 'unlawful intrusion upon, or use of any portion of the ancestral domain, or any violation of the rights' </w:t>
      </w:r>
      <w:r w:rsidR="0042050D">
        <w:rPr>
          <w:rFonts w:eastAsiaTheme="minorHAnsi"/>
          <w:lang w:eastAsia="en-US"/>
        </w:rPr>
        <w:t xml:space="preserve">under </w:t>
      </w:r>
      <w:r w:rsidRPr="00035187">
        <w:rPr>
          <w:rFonts w:eastAsiaTheme="minorHAnsi"/>
          <w:lang w:eastAsia="en-US"/>
        </w:rPr>
        <w:t>IPRA.</w:t>
      </w:r>
      <w:r w:rsidRPr="00035187">
        <w:rPr>
          <w:rStyle w:val="FootnoteReference"/>
          <w:rFonts w:eastAsiaTheme="minorHAnsi"/>
          <w:lang w:eastAsia="en-US"/>
        </w:rPr>
        <w:footnoteReference w:id="135"/>
      </w:r>
      <w:r>
        <w:rPr>
          <w:rFonts w:eastAsiaTheme="minorHAnsi"/>
          <w:lang w:eastAsia="en-US"/>
        </w:rPr>
        <w:t xml:space="preserve"> </w:t>
      </w:r>
      <w:r w:rsidR="00755333" w:rsidRPr="00035187">
        <w:rPr>
          <w:rFonts w:eastAsiaTheme="minorHAnsi"/>
          <w:lang w:eastAsia="en-US"/>
        </w:rPr>
        <w:t xml:space="preserve">However, the </w:t>
      </w:r>
      <w:r w:rsidR="00755333" w:rsidRPr="00035187">
        <w:rPr>
          <w:rFonts w:eastAsiaTheme="minorHAnsi" w:cs="Arial"/>
          <w:lang w:eastAsia="en-US"/>
        </w:rPr>
        <w:t xml:space="preserve">Cordillera Peoples' Alliance </w:t>
      </w:r>
      <w:proofErr w:type="gramStart"/>
      <w:r w:rsidR="00755333" w:rsidRPr="00035187">
        <w:rPr>
          <w:rFonts w:eastAsiaTheme="minorHAnsi" w:cs="Arial"/>
          <w:lang w:eastAsia="en-US"/>
        </w:rPr>
        <w:t>contend</w:t>
      </w:r>
      <w:proofErr w:type="gramEnd"/>
      <w:r w:rsidR="00755333" w:rsidRPr="00035187">
        <w:rPr>
          <w:rFonts w:eastAsiaTheme="minorHAnsi" w:cs="Arial"/>
          <w:lang w:eastAsia="en-US"/>
        </w:rPr>
        <w:t xml:space="preserve"> that IPRA was 'hastily' signed and ineffective as Philippine land law continues to operate on the basis of the </w:t>
      </w:r>
      <w:proofErr w:type="spellStart"/>
      <w:r w:rsidR="00755333" w:rsidRPr="00035187">
        <w:rPr>
          <w:rFonts w:eastAsiaTheme="minorHAnsi" w:cs="Arial"/>
          <w:lang w:eastAsia="en-US"/>
        </w:rPr>
        <w:t>Regalian</w:t>
      </w:r>
      <w:proofErr w:type="spellEnd"/>
      <w:r w:rsidR="00755333" w:rsidRPr="00035187">
        <w:rPr>
          <w:rFonts w:eastAsiaTheme="minorHAnsi" w:cs="Arial"/>
          <w:lang w:eastAsia="en-US"/>
        </w:rPr>
        <w:t xml:space="preserve"> land doctrine. As the 'doctrine has never been formally invalidated, it continues to deny </w:t>
      </w:r>
      <w:r w:rsidR="00D52C75">
        <w:rPr>
          <w:rFonts w:eastAsiaTheme="minorHAnsi" w:cs="Arial"/>
          <w:lang w:eastAsia="en-US"/>
        </w:rPr>
        <w:t xml:space="preserve">IPs' </w:t>
      </w:r>
      <w:r w:rsidR="00755333" w:rsidRPr="00035187">
        <w:rPr>
          <w:rFonts w:eastAsiaTheme="minorHAnsi" w:cs="Arial"/>
          <w:lang w:eastAsia="en-US"/>
        </w:rPr>
        <w:t>rights to their ancestral lands and resources to this day.'</w:t>
      </w:r>
      <w:r w:rsidR="00755333" w:rsidRPr="00035187">
        <w:rPr>
          <w:rStyle w:val="FootnoteReference"/>
          <w:rFonts w:eastAsiaTheme="minorHAnsi" w:cs="Arial"/>
          <w:lang w:eastAsia="en-US"/>
        </w:rPr>
        <w:footnoteReference w:id="136"/>
      </w:r>
    </w:p>
    <w:p w:rsidR="009C5481" w:rsidRPr="007B3B00" w:rsidRDefault="009C5481" w:rsidP="009C5481">
      <w:pPr>
        <w:pStyle w:val="AllensHeading3"/>
        <w:rPr>
          <w:rFonts w:eastAsiaTheme="minorHAnsi"/>
          <w:b/>
          <w:lang w:val="en-US" w:eastAsia="en-US"/>
        </w:rPr>
      </w:pPr>
      <w:r w:rsidRPr="007B3B00">
        <w:rPr>
          <w:rFonts w:eastAsiaTheme="minorHAnsi"/>
          <w:b/>
          <w:lang w:val="en-US" w:eastAsia="en-US"/>
        </w:rPr>
        <w:lastRenderedPageBreak/>
        <w:t>Does customary ownership provide indigenous people with a high degree of security of tenure?</w:t>
      </w:r>
    </w:p>
    <w:p w:rsidR="00755333" w:rsidRPr="00035187" w:rsidRDefault="00755333" w:rsidP="00F226A5">
      <w:pPr>
        <w:pStyle w:val="NormalIndent"/>
        <w:ind w:left="1418"/>
        <w:rPr>
          <w:rFonts w:eastAsiaTheme="minorHAnsi"/>
          <w:lang w:eastAsia="en-US"/>
        </w:rPr>
      </w:pPr>
      <w:r w:rsidRPr="00035187">
        <w:t xml:space="preserve">Customary ownership recognised by a </w:t>
      </w:r>
      <w:r w:rsidR="00802522">
        <w:t xml:space="preserve">CADT </w:t>
      </w:r>
      <w:r w:rsidRPr="00035187">
        <w:t xml:space="preserve">or </w:t>
      </w:r>
      <w:r w:rsidR="00802522">
        <w:t xml:space="preserve">CALT </w:t>
      </w:r>
      <w:r w:rsidRPr="00035187">
        <w:t xml:space="preserve">provides a relatively strong degree of security of tenure. Those with certificates are formally acknowledged to have rights to those domains or lands. IPRA </w:t>
      </w:r>
      <w:r w:rsidRPr="00035187">
        <w:rPr>
          <w:rFonts w:eastAsiaTheme="minorHAnsi"/>
          <w:lang w:eastAsia="en-US"/>
        </w:rPr>
        <w:t>provides penalties for unauthori</w:t>
      </w:r>
      <w:r w:rsidR="008C3F69">
        <w:rPr>
          <w:rFonts w:eastAsiaTheme="minorHAnsi"/>
          <w:lang w:eastAsia="en-US"/>
        </w:rPr>
        <w:t>s</w:t>
      </w:r>
      <w:r w:rsidRPr="00035187">
        <w:rPr>
          <w:rFonts w:eastAsiaTheme="minorHAnsi"/>
          <w:lang w:eastAsia="en-US"/>
        </w:rPr>
        <w:t xml:space="preserve">ed and 'unlawful intrusion upon, or use of any portion of the ancestral domain, or any violation of the rights' </w:t>
      </w:r>
      <w:r w:rsidR="0042050D">
        <w:rPr>
          <w:rFonts w:eastAsiaTheme="minorHAnsi"/>
          <w:lang w:eastAsia="en-US"/>
        </w:rPr>
        <w:t xml:space="preserve">under </w:t>
      </w:r>
      <w:r w:rsidRPr="00035187">
        <w:rPr>
          <w:rFonts w:eastAsiaTheme="minorHAnsi"/>
          <w:lang w:eastAsia="en-US"/>
        </w:rPr>
        <w:t>IPRA,</w:t>
      </w:r>
      <w:r w:rsidRPr="00035187">
        <w:rPr>
          <w:rStyle w:val="FootnoteReference"/>
          <w:rFonts w:eastAsiaTheme="minorHAnsi"/>
          <w:lang w:eastAsia="en-US"/>
        </w:rPr>
        <w:footnoteReference w:id="137"/>
      </w:r>
      <w:r w:rsidRPr="00035187">
        <w:rPr>
          <w:rFonts w:eastAsiaTheme="minorHAnsi"/>
          <w:lang w:eastAsia="en-US"/>
        </w:rPr>
        <w:t xml:space="preserve"> with punishment to occur in accordance 'with the customary laws of the ICCs/IPs concerned' provided that it is not 'cruel, degrading or inhuman punishment' or 'excessive'.</w:t>
      </w:r>
      <w:r w:rsidRPr="00035187">
        <w:rPr>
          <w:rStyle w:val="FootnoteReference"/>
          <w:rFonts w:eastAsiaTheme="minorHAnsi"/>
          <w:lang w:eastAsia="en-US"/>
        </w:rPr>
        <w:footnoteReference w:id="138"/>
      </w:r>
      <w:r w:rsidRPr="00035187">
        <w:rPr>
          <w:rFonts w:eastAsiaTheme="minorHAnsi"/>
          <w:lang w:eastAsia="en-US"/>
        </w:rPr>
        <w:t xml:space="preserve"> Furthermore, access to resources may only occur with the ICCs/IPs' 'free and prior informed consent' and 'in accordance with customary laws',</w:t>
      </w:r>
      <w:r w:rsidRPr="00035187">
        <w:rPr>
          <w:rStyle w:val="FootnoteReference"/>
          <w:rFonts w:eastAsiaTheme="minorHAnsi"/>
          <w:lang w:eastAsia="en-US"/>
        </w:rPr>
        <w:footnoteReference w:id="139"/>
      </w:r>
      <w:r w:rsidRPr="00035187">
        <w:rPr>
          <w:rFonts w:eastAsiaTheme="minorHAnsi"/>
          <w:lang w:eastAsia="en-US"/>
        </w:rPr>
        <w:t xml:space="preserve"> and IPRA provides a right for </w:t>
      </w:r>
      <w:r w:rsidR="00D52C75">
        <w:rPr>
          <w:rFonts w:eastAsiaTheme="minorHAnsi"/>
          <w:lang w:eastAsia="en-US"/>
        </w:rPr>
        <w:t>IPs</w:t>
      </w:r>
      <w:r w:rsidR="006A3EBE">
        <w:rPr>
          <w:rFonts w:eastAsiaTheme="minorHAnsi"/>
          <w:lang w:eastAsia="en-US"/>
        </w:rPr>
        <w:t xml:space="preserve"> to</w:t>
      </w:r>
      <w:r w:rsidR="00D52C75">
        <w:rPr>
          <w:rFonts w:eastAsiaTheme="minorHAnsi"/>
          <w:lang w:eastAsia="en-US"/>
        </w:rPr>
        <w:t xml:space="preserve"> </w:t>
      </w:r>
      <w:r w:rsidRPr="00035187">
        <w:rPr>
          <w:rFonts w:eastAsiaTheme="minorHAnsi"/>
          <w:lang w:eastAsia="en-US"/>
        </w:rPr>
        <w:t>'maintain, protect and have access to their religious and cultural sites'.</w:t>
      </w:r>
      <w:r w:rsidRPr="00035187">
        <w:rPr>
          <w:rStyle w:val="FootnoteReference"/>
          <w:rFonts w:eastAsiaTheme="minorHAnsi"/>
          <w:lang w:eastAsia="en-US"/>
        </w:rPr>
        <w:footnoteReference w:id="140"/>
      </w:r>
      <w:r w:rsidRPr="00035187">
        <w:rPr>
          <w:rFonts w:eastAsiaTheme="minorHAnsi"/>
          <w:lang w:eastAsia="en-US"/>
        </w:rPr>
        <w:t xml:space="preserve"> These </w:t>
      </w:r>
      <w:r w:rsidR="006A3EBE">
        <w:rPr>
          <w:rFonts w:eastAsiaTheme="minorHAnsi"/>
          <w:lang w:eastAsia="en-US"/>
        </w:rPr>
        <w:t>provisions have gone some way to</w:t>
      </w:r>
      <w:r w:rsidRPr="00035187">
        <w:rPr>
          <w:rFonts w:eastAsiaTheme="minorHAnsi"/>
          <w:lang w:eastAsia="en-US"/>
        </w:rPr>
        <w:t xml:space="preserve"> protecting </w:t>
      </w:r>
      <w:r w:rsidR="00D52C75">
        <w:rPr>
          <w:rFonts w:eastAsiaTheme="minorHAnsi"/>
          <w:lang w:eastAsia="en-US"/>
        </w:rPr>
        <w:t>IPs</w:t>
      </w:r>
      <w:r w:rsidRPr="00035187">
        <w:rPr>
          <w:rFonts w:eastAsiaTheme="minorHAnsi"/>
          <w:lang w:eastAsia="en-US"/>
        </w:rPr>
        <w:t>.</w:t>
      </w:r>
    </w:p>
    <w:p w:rsidR="00755333" w:rsidRPr="0094405D" w:rsidRDefault="00755333" w:rsidP="00F226A5">
      <w:pPr>
        <w:pStyle w:val="NormalIndent"/>
        <w:ind w:left="1407"/>
        <w:rPr>
          <w:rFonts w:eastAsiaTheme="minorHAnsi"/>
          <w:lang w:eastAsia="en-US"/>
        </w:rPr>
      </w:pPr>
      <w:r w:rsidRPr="00035187">
        <w:rPr>
          <w:rFonts w:eastAsiaTheme="minorHAnsi"/>
          <w:lang w:eastAsia="en-US"/>
        </w:rPr>
        <w:t>Nevertheless, IPRA conflicts</w:t>
      </w:r>
      <w:r w:rsidRPr="00035187">
        <w:rPr>
          <w:lang w:val="en-US"/>
        </w:rPr>
        <w:t xml:space="preserve"> with </w:t>
      </w:r>
      <w:r w:rsidR="00D52C75">
        <w:rPr>
          <w:lang w:val="en-US"/>
        </w:rPr>
        <w:t xml:space="preserve">a number of </w:t>
      </w:r>
      <w:r w:rsidRPr="00035187">
        <w:rPr>
          <w:lang w:val="en-US"/>
        </w:rPr>
        <w:t>other statutes in the Philippi</w:t>
      </w:r>
      <w:r>
        <w:rPr>
          <w:lang w:val="en-US"/>
        </w:rPr>
        <w:t>nes, such as:</w:t>
      </w:r>
      <w:r>
        <w:rPr>
          <w:rStyle w:val="FootnoteReference"/>
          <w:rFonts w:eastAsiaTheme="minorHAnsi" w:cs="Arial"/>
          <w:lang w:eastAsia="en-US"/>
        </w:rPr>
        <w:footnoteReference w:id="141"/>
      </w:r>
    </w:p>
    <w:p w:rsidR="00755333" w:rsidRPr="009E33D5" w:rsidRDefault="00861E17" w:rsidP="00F226A5">
      <w:pPr>
        <w:pStyle w:val="AllensHeading4"/>
        <w:tabs>
          <w:tab w:val="clear" w:pos="2126"/>
          <w:tab w:val="num" w:pos="2824"/>
        </w:tabs>
        <w:ind w:left="2824"/>
        <w:rPr>
          <w:lang w:val="en-US"/>
        </w:rPr>
      </w:pPr>
      <w:r w:rsidRPr="00FA62B7">
        <w:rPr>
          <w:rFonts w:eastAsiaTheme="minorHAnsi" w:cs="Arial"/>
          <w:i/>
          <w:lang w:eastAsia="en-US"/>
        </w:rPr>
        <w:t>Mining Act of 1995</w:t>
      </w:r>
      <w:r w:rsidRPr="00FA62B7">
        <w:rPr>
          <w:rFonts w:eastAsiaTheme="minorHAnsi" w:cs="Arial"/>
          <w:lang w:eastAsia="en-US"/>
        </w:rPr>
        <w:t xml:space="preserve"> (Republic Act 7942)</w:t>
      </w:r>
      <w:r w:rsidR="00755333">
        <w:rPr>
          <w:lang w:val="en-US"/>
        </w:rPr>
        <w:t>;</w:t>
      </w:r>
    </w:p>
    <w:p w:rsidR="00755333" w:rsidRDefault="00755333" w:rsidP="00F226A5">
      <w:pPr>
        <w:pStyle w:val="AllensHeading4"/>
        <w:ind w:left="2824"/>
        <w:rPr>
          <w:lang w:val="en-US"/>
        </w:rPr>
      </w:pPr>
      <w:r w:rsidRPr="00035187">
        <w:rPr>
          <w:i/>
          <w:lang w:val="en-US"/>
        </w:rPr>
        <w:t>Revised Forestry Code</w:t>
      </w:r>
      <w:r w:rsidR="00861E17">
        <w:rPr>
          <w:i/>
          <w:lang w:val="en-US"/>
        </w:rPr>
        <w:t xml:space="preserve"> of 1975</w:t>
      </w:r>
      <w:r w:rsidRPr="009E33D5">
        <w:rPr>
          <w:lang w:val="en-US"/>
        </w:rPr>
        <w:t xml:space="preserve"> (</w:t>
      </w:r>
      <w:r w:rsidR="00861E17">
        <w:rPr>
          <w:rFonts w:eastAsiaTheme="minorHAnsi"/>
          <w:lang w:eastAsia="en-US"/>
        </w:rPr>
        <w:t>Presidential Decree No 705</w:t>
      </w:r>
      <w:r w:rsidRPr="009E33D5">
        <w:rPr>
          <w:rFonts w:eastAsiaTheme="minorHAnsi"/>
          <w:lang w:eastAsia="en-US"/>
        </w:rPr>
        <w:t>)</w:t>
      </w:r>
      <w:r>
        <w:rPr>
          <w:rFonts w:eastAsiaTheme="minorHAnsi"/>
          <w:lang w:eastAsia="en-US"/>
        </w:rPr>
        <w:t>;</w:t>
      </w:r>
    </w:p>
    <w:p w:rsidR="008C3F69" w:rsidRDefault="00755333" w:rsidP="00F226A5">
      <w:pPr>
        <w:pStyle w:val="AllensHeading4"/>
        <w:ind w:left="2824"/>
        <w:rPr>
          <w:lang w:val="en-US"/>
        </w:rPr>
      </w:pPr>
      <w:r w:rsidRPr="008C3F69">
        <w:rPr>
          <w:i/>
          <w:lang w:val="en-US"/>
        </w:rPr>
        <w:t>National Integrated Protected Area System</w:t>
      </w:r>
      <w:r w:rsidR="008C3F69" w:rsidRPr="008C3F69">
        <w:rPr>
          <w:i/>
          <w:lang w:val="en-US"/>
        </w:rPr>
        <w:t xml:space="preserve"> Act of 1992</w:t>
      </w:r>
      <w:r w:rsidR="00861E17" w:rsidRPr="00F423AF">
        <w:rPr>
          <w:lang w:val="en-US"/>
        </w:rPr>
        <w:t xml:space="preserve"> (</w:t>
      </w:r>
      <w:r w:rsidR="00861E17" w:rsidRPr="00F423AF">
        <w:t>Republic Act 7586)</w:t>
      </w:r>
      <w:r w:rsidRPr="00F423AF">
        <w:rPr>
          <w:lang w:val="en-US"/>
        </w:rPr>
        <w:t>;</w:t>
      </w:r>
      <w:r w:rsidRPr="008C3F69">
        <w:rPr>
          <w:lang w:val="en-US"/>
        </w:rPr>
        <w:t xml:space="preserve"> and</w:t>
      </w:r>
      <w:r w:rsidR="005B7220" w:rsidRPr="008C3F69">
        <w:rPr>
          <w:lang w:val="en-US"/>
        </w:rPr>
        <w:t xml:space="preserve"> </w:t>
      </w:r>
    </w:p>
    <w:p w:rsidR="00755333" w:rsidRPr="008C3F69" w:rsidRDefault="008A0004" w:rsidP="00F226A5">
      <w:pPr>
        <w:pStyle w:val="AllensHeading4"/>
        <w:ind w:left="2824"/>
        <w:rPr>
          <w:lang w:val="en-US"/>
        </w:rPr>
      </w:pPr>
      <w:r w:rsidRPr="008A0004">
        <w:rPr>
          <w:rFonts w:eastAsiaTheme="minorHAnsi" w:cs="Arial"/>
          <w:lang w:eastAsia="en-US"/>
        </w:rPr>
        <w:t>Fisheries Code</w:t>
      </w:r>
      <w:r w:rsidR="00755333" w:rsidRPr="008C3F69">
        <w:rPr>
          <w:lang w:val="en-US"/>
        </w:rPr>
        <w:t>.</w:t>
      </w:r>
    </w:p>
    <w:p w:rsidR="00755333" w:rsidRPr="007B3B00" w:rsidRDefault="00755333" w:rsidP="00F226A5">
      <w:pPr>
        <w:pStyle w:val="NormalIndent"/>
        <w:ind w:left="1407"/>
        <w:rPr>
          <w:i/>
          <w:lang w:val="en-US"/>
        </w:rPr>
      </w:pPr>
      <w:r w:rsidRPr="007B3B00">
        <w:rPr>
          <w:rFonts w:eastAsiaTheme="minorHAnsi" w:cs="Arial"/>
          <w:lang w:eastAsia="en-US"/>
        </w:rPr>
        <w:t xml:space="preserve">Thus, </w:t>
      </w:r>
      <w:proofErr w:type="spellStart"/>
      <w:r w:rsidRPr="007B3B00">
        <w:rPr>
          <w:rFonts w:eastAsiaTheme="minorHAnsi"/>
          <w:lang w:eastAsia="en-US"/>
        </w:rPr>
        <w:t>Marvic</w:t>
      </w:r>
      <w:proofErr w:type="spellEnd"/>
      <w:r w:rsidRPr="007B3B00">
        <w:rPr>
          <w:rFonts w:eastAsiaTheme="minorHAnsi"/>
          <w:lang w:eastAsia="en-US"/>
        </w:rPr>
        <w:t xml:space="preserve"> </w:t>
      </w:r>
      <w:proofErr w:type="spellStart"/>
      <w:r w:rsidRPr="007B3B00">
        <w:rPr>
          <w:rFonts w:eastAsiaTheme="minorHAnsi"/>
          <w:lang w:eastAsia="en-US"/>
        </w:rPr>
        <w:t>Leonen</w:t>
      </w:r>
      <w:proofErr w:type="spellEnd"/>
      <w:r w:rsidR="00DB0B05">
        <w:rPr>
          <w:rFonts w:eastAsiaTheme="minorHAnsi"/>
          <w:lang w:eastAsia="en-US"/>
        </w:rPr>
        <w:t xml:space="preserve"> (currently an Associate Justice of the Supreme Court of the Philippines)</w:t>
      </w:r>
      <w:r w:rsidRPr="007B3B00">
        <w:rPr>
          <w:rFonts w:eastAsiaTheme="minorHAnsi"/>
          <w:lang w:eastAsia="en-US"/>
        </w:rPr>
        <w:t xml:space="preserve"> has criticised </w:t>
      </w:r>
      <w:r w:rsidRPr="00B4724A">
        <w:rPr>
          <w:rFonts w:eastAsiaTheme="minorHAnsi"/>
          <w:lang w:eastAsia="en-US"/>
        </w:rPr>
        <w:t>IPRA</w:t>
      </w:r>
      <w:r w:rsidRPr="007B3B00">
        <w:rPr>
          <w:rFonts w:eastAsiaTheme="minorHAnsi"/>
          <w:lang w:eastAsia="en-US"/>
        </w:rPr>
        <w:t xml:space="preserve"> for </w:t>
      </w:r>
      <w:r w:rsidRPr="00035187">
        <w:rPr>
          <w:rFonts w:eastAsiaTheme="minorHAnsi"/>
          <w:lang w:eastAsia="en-US"/>
        </w:rPr>
        <w:t>being a 'heavily compromised law' becaus</w:t>
      </w:r>
      <w:r w:rsidRPr="007B3B00">
        <w:rPr>
          <w:rFonts w:eastAsiaTheme="minorHAnsi"/>
          <w:lang w:eastAsia="en-US"/>
        </w:rPr>
        <w:t>e it does not offer a solution to the tension between state and customary law.</w:t>
      </w:r>
      <w:bookmarkStart w:id="51" w:name="_Ref490637998"/>
      <w:r w:rsidRPr="007B3B00">
        <w:rPr>
          <w:rStyle w:val="FootnoteReference"/>
          <w:rFonts w:eastAsiaTheme="minorHAnsi"/>
          <w:lang w:eastAsia="en-US"/>
        </w:rPr>
        <w:footnoteReference w:id="142"/>
      </w:r>
      <w:bookmarkEnd w:id="51"/>
    </w:p>
    <w:p w:rsidR="00165FDB" w:rsidRPr="007B3B00" w:rsidRDefault="00165FDB" w:rsidP="00165FDB">
      <w:pPr>
        <w:pStyle w:val="AllensHeading3"/>
        <w:rPr>
          <w:rFonts w:eastAsiaTheme="minorHAnsi"/>
          <w:b/>
          <w:lang w:val="en-US" w:eastAsia="en-US"/>
        </w:rPr>
      </w:pPr>
      <w:r w:rsidRPr="007B3B00">
        <w:rPr>
          <w:rFonts w:eastAsiaTheme="minorHAnsi"/>
          <w:b/>
          <w:lang w:val="en-US" w:eastAsia="en-US"/>
        </w:rPr>
        <w:t>If not, what are the barriers to indigenous people owning and/or living on their land?</w:t>
      </w:r>
    </w:p>
    <w:p w:rsidR="00755333" w:rsidRPr="00035187" w:rsidRDefault="00755333" w:rsidP="00F226A5">
      <w:pPr>
        <w:pStyle w:val="NormalIndent"/>
        <w:ind w:left="1418"/>
        <w:jc w:val="both"/>
        <w:rPr>
          <w:rFonts w:eastAsiaTheme="minorHAnsi" w:cs="Arial"/>
          <w:lang w:eastAsia="en-US"/>
        </w:rPr>
      </w:pPr>
      <w:r w:rsidRPr="00035187">
        <w:rPr>
          <w:lang w:val="en-US"/>
        </w:rPr>
        <w:t xml:space="preserve">Although IPRA provides some protection to the tenure of ICCs and IPs, there have been many deficiencies in the law's </w:t>
      </w:r>
      <w:r w:rsidR="00DB0B05">
        <w:rPr>
          <w:lang w:val="en-US"/>
        </w:rPr>
        <w:t>implementation</w:t>
      </w:r>
      <w:r w:rsidRPr="00035187">
        <w:rPr>
          <w:lang w:val="en-US"/>
        </w:rPr>
        <w:t xml:space="preserve">. As discussed above, there are many contradictions between IPRA and other </w:t>
      </w:r>
      <w:r w:rsidR="00B4724A">
        <w:rPr>
          <w:lang w:val="en-US"/>
        </w:rPr>
        <w:t xml:space="preserve">Filipino </w:t>
      </w:r>
      <w:r w:rsidRPr="00035187">
        <w:rPr>
          <w:lang w:val="en-US"/>
        </w:rPr>
        <w:t xml:space="preserve">laws, with the outdated </w:t>
      </w:r>
      <w:proofErr w:type="spellStart"/>
      <w:r w:rsidRPr="00035187">
        <w:rPr>
          <w:lang w:val="en-US"/>
        </w:rPr>
        <w:t>Regalian</w:t>
      </w:r>
      <w:proofErr w:type="spellEnd"/>
      <w:r w:rsidR="005B1999">
        <w:rPr>
          <w:lang w:val="en-US"/>
        </w:rPr>
        <w:t xml:space="preserve"> land</w:t>
      </w:r>
      <w:r w:rsidRPr="00035187">
        <w:rPr>
          <w:lang w:val="en-US"/>
        </w:rPr>
        <w:t xml:space="preserve"> doctrine continuing to form </w:t>
      </w:r>
      <w:r w:rsidRPr="00035187">
        <w:rPr>
          <w:rFonts w:eastAsiaTheme="minorHAnsi" w:cs="Arial"/>
          <w:lang w:eastAsia="en-US"/>
        </w:rPr>
        <w:t>the 'theoretical bedrock' of Philippine land law, dealing a 'fatal blow to Philippine indigenous concepts of land rights and land tenure.'</w:t>
      </w:r>
      <w:r w:rsidRPr="00035187">
        <w:rPr>
          <w:rStyle w:val="FootnoteReference"/>
          <w:rFonts w:eastAsiaTheme="minorHAnsi"/>
          <w:lang w:eastAsia="en-US"/>
        </w:rPr>
        <w:footnoteReference w:id="143"/>
      </w:r>
    </w:p>
    <w:p w:rsidR="00755333" w:rsidRPr="00035187" w:rsidRDefault="00755333" w:rsidP="00F226A5">
      <w:pPr>
        <w:pStyle w:val="NormalIndent"/>
        <w:ind w:left="1418"/>
        <w:jc w:val="both"/>
        <w:rPr>
          <w:rFonts w:eastAsiaTheme="minorHAnsi" w:cs="Arial"/>
          <w:lang w:eastAsia="en-US"/>
        </w:rPr>
      </w:pPr>
      <w:r w:rsidRPr="00035187">
        <w:rPr>
          <w:rFonts w:eastAsiaTheme="minorHAnsi" w:cs="Arial"/>
          <w:lang w:eastAsia="en-US"/>
        </w:rPr>
        <w:t xml:space="preserve">Therefore, one significant barrier to </w:t>
      </w:r>
      <w:r w:rsidR="005B7220">
        <w:rPr>
          <w:rFonts w:eastAsiaTheme="minorHAnsi" w:cs="Arial"/>
          <w:lang w:eastAsia="en-US"/>
        </w:rPr>
        <w:t xml:space="preserve">IPs </w:t>
      </w:r>
      <w:r w:rsidRPr="00035187">
        <w:rPr>
          <w:rFonts w:eastAsiaTheme="minorHAnsi" w:cs="Arial"/>
          <w:lang w:eastAsia="en-US"/>
        </w:rPr>
        <w:t xml:space="preserve">owning and / or living on their land is the tension between </w:t>
      </w:r>
      <w:proofErr w:type="spellStart"/>
      <w:r w:rsidRPr="00035187">
        <w:rPr>
          <w:rFonts w:eastAsiaTheme="minorHAnsi" w:cs="Arial"/>
          <w:lang w:eastAsia="en-US"/>
        </w:rPr>
        <w:t>Regalian</w:t>
      </w:r>
      <w:proofErr w:type="spellEnd"/>
      <w:r w:rsidRPr="00035187">
        <w:rPr>
          <w:rFonts w:eastAsiaTheme="minorHAnsi" w:cs="Arial"/>
          <w:lang w:eastAsia="en-US"/>
        </w:rPr>
        <w:t xml:space="preserve"> </w:t>
      </w:r>
      <w:r w:rsidR="005B1999">
        <w:rPr>
          <w:rFonts w:eastAsiaTheme="minorHAnsi" w:cs="Arial"/>
          <w:lang w:eastAsia="en-US"/>
        </w:rPr>
        <w:t xml:space="preserve">land doctrine </w:t>
      </w:r>
      <w:r w:rsidRPr="00035187">
        <w:rPr>
          <w:rFonts w:eastAsiaTheme="minorHAnsi" w:cs="Arial"/>
          <w:lang w:eastAsia="en-US"/>
        </w:rPr>
        <w:t xml:space="preserve">and other statist notions of land ownership, and customary law, including as recognised </w:t>
      </w:r>
      <w:r w:rsidR="0042050D">
        <w:rPr>
          <w:rFonts w:eastAsiaTheme="minorHAnsi" w:cs="Arial"/>
          <w:lang w:eastAsia="en-US"/>
        </w:rPr>
        <w:t xml:space="preserve">under </w:t>
      </w:r>
      <w:r w:rsidRPr="00035187">
        <w:rPr>
          <w:rFonts w:eastAsiaTheme="minorHAnsi" w:cs="Arial"/>
          <w:lang w:eastAsia="en-US"/>
        </w:rPr>
        <w:t xml:space="preserve">IPRA. This inconsistency has permitted a 'massive land grab of </w:t>
      </w:r>
      <w:r w:rsidR="005B7220">
        <w:rPr>
          <w:rFonts w:eastAsiaTheme="minorHAnsi" w:cs="Arial"/>
          <w:lang w:eastAsia="en-US"/>
        </w:rPr>
        <w:t xml:space="preserve">IPs' </w:t>
      </w:r>
      <w:r w:rsidRPr="00035187">
        <w:rPr>
          <w:rFonts w:eastAsiaTheme="minorHAnsi" w:cs="Arial"/>
          <w:lang w:eastAsia="en-US"/>
        </w:rPr>
        <w:t xml:space="preserve">domain', with many people formally using the system of land registration to steal ancestral lands from </w:t>
      </w:r>
      <w:r w:rsidR="005B7220">
        <w:rPr>
          <w:rFonts w:eastAsiaTheme="minorHAnsi" w:cs="Arial"/>
          <w:lang w:eastAsia="en-US"/>
        </w:rPr>
        <w:t>IPs</w:t>
      </w:r>
      <w:r w:rsidRPr="00035187">
        <w:rPr>
          <w:rFonts w:eastAsiaTheme="minorHAnsi" w:cs="Arial"/>
          <w:lang w:eastAsia="en-US"/>
        </w:rPr>
        <w:t>.</w:t>
      </w:r>
      <w:r w:rsidRPr="00035187">
        <w:rPr>
          <w:rStyle w:val="FootnoteReference"/>
          <w:rFonts w:eastAsiaTheme="minorHAnsi"/>
          <w:lang w:eastAsia="en-US"/>
        </w:rPr>
        <w:footnoteReference w:id="144"/>
      </w:r>
      <w:r w:rsidRPr="00035187">
        <w:rPr>
          <w:rFonts w:eastAsiaTheme="minorHAnsi" w:cs="Arial"/>
          <w:lang w:eastAsia="en-US"/>
        </w:rPr>
        <w:t xml:space="preserve"> The procedure for applying for title </w:t>
      </w:r>
      <w:r w:rsidRPr="00035187">
        <w:rPr>
          <w:rFonts w:eastAsiaTheme="minorHAnsi" w:cs="Arial"/>
          <w:lang w:eastAsia="en-US"/>
        </w:rPr>
        <w:lastRenderedPageBreak/>
        <w:t xml:space="preserve">registration is recognised to be extremely tedious, and many </w:t>
      </w:r>
      <w:r w:rsidR="005B7220">
        <w:rPr>
          <w:rFonts w:eastAsiaTheme="minorHAnsi" w:cs="Arial"/>
          <w:lang w:eastAsia="en-US"/>
        </w:rPr>
        <w:t xml:space="preserve">IPs </w:t>
      </w:r>
      <w:r w:rsidRPr="00035187">
        <w:rPr>
          <w:rFonts w:eastAsiaTheme="minorHAnsi" w:cs="Arial"/>
          <w:lang w:eastAsia="en-US"/>
        </w:rPr>
        <w:t xml:space="preserve">are not aware of the need to register title at all. Therefore, </w:t>
      </w:r>
      <w:r w:rsidR="005B7220">
        <w:rPr>
          <w:rFonts w:eastAsiaTheme="minorHAnsi" w:cs="Arial"/>
          <w:lang w:eastAsia="en-US"/>
        </w:rPr>
        <w:t xml:space="preserve">IPs </w:t>
      </w:r>
      <w:r w:rsidRPr="00035187">
        <w:rPr>
          <w:rFonts w:eastAsiaTheme="minorHAnsi" w:cs="Arial"/>
          <w:lang w:eastAsia="en-US"/>
        </w:rPr>
        <w:t xml:space="preserve">without an understanding of the Torrens system in place, or who are not aware of the benefits of obtaining a certificate under IPRA, </w:t>
      </w:r>
      <w:proofErr w:type="gramStart"/>
      <w:r w:rsidRPr="00035187">
        <w:rPr>
          <w:rFonts w:eastAsiaTheme="minorHAnsi" w:cs="Arial"/>
          <w:lang w:eastAsia="en-US"/>
        </w:rPr>
        <w:t>are</w:t>
      </w:r>
      <w:proofErr w:type="gramEnd"/>
      <w:r w:rsidRPr="00035187">
        <w:rPr>
          <w:rFonts w:eastAsiaTheme="minorHAnsi" w:cs="Arial"/>
          <w:lang w:eastAsia="en-US"/>
        </w:rPr>
        <w:t xml:space="preserve"> still susceptible to being dispossessed.</w:t>
      </w:r>
    </w:p>
    <w:p w:rsidR="00755333" w:rsidRPr="007B3B00" w:rsidRDefault="00755333" w:rsidP="00F226A5">
      <w:pPr>
        <w:pStyle w:val="NormalIndent"/>
        <w:ind w:left="1418"/>
        <w:jc w:val="both"/>
        <w:rPr>
          <w:lang w:val="en-US"/>
        </w:rPr>
      </w:pPr>
      <w:r w:rsidRPr="00035187">
        <w:rPr>
          <w:lang w:val="en-US"/>
        </w:rPr>
        <w:t>As Alcorn notes, '[p]</w:t>
      </w:r>
      <w:proofErr w:type="spellStart"/>
      <w:r w:rsidRPr="00035187">
        <w:rPr>
          <w:lang w:val="en-US"/>
        </w:rPr>
        <w:t>oorly</w:t>
      </w:r>
      <w:proofErr w:type="spellEnd"/>
      <w:r w:rsidRPr="00035187">
        <w:rPr>
          <w:lang w:val="en-US"/>
        </w:rPr>
        <w:t xml:space="preserve"> functioning land markets and some large-scale land acquisitions may threaten indigenous people' because, '[w]</w:t>
      </w:r>
      <w:proofErr w:type="spellStart"/>
      <w:r w:rsidRPr="00035187">
        <w:rPr>
          <w:lang w:val="en-US"/>
        </w:rPr>
        <w:t>ithout</w:t>
      </w:r>
      <w:proofErr w:type="spellEnd"/>
      <w:r w:rsidRPr="00035187">
        <w:rPr>
          <w:lang w:val="en-US"/>
        </w:rPr>
        <w:t xml:space="preserve"> secure tenure to land and water, indigenous peoples can easily lose their legal rights to natural resources by the stroke of a pen.'</w:t>
      </w:r>
      <w:r w:rsidRPr="00035187">
        <w:rPr>
          <w:rStyle w:val="FootnoteReference"/>
          <w:lang w:val="en-US"/>
        </w:rPr>
        <w:footnoteReference w:id="145"/>
      </w:r>
      <w:r w:rsidRPr="00035187">
        <w:rPr>
          <w:lang w:val="en-US"/>
        </w:rPr>
        <w:t xml:space="preserve"> Thus, a</w:t>
      </w:r>
      <w:r w:rsidRPr="007B3B00">
        <w:rPr>
          <w:lang w:val="en-US"/>
        </w:rPr>
        <w:t xml:space="preserve"> key challenge for ensuring that </w:t>
      </w:r>
      <w:r w:rsidR="005B7220">
        <w:rPr>
          <w:lang w:val="en-US"/>
        </w:rPr>
        <w:t>i</w:t>
      </w:r>
      <w:r w:rsidRPr="007B3B00">
        <w:rPr>
          <w:lang w:val="en-US"/>
        </w:rPr>
        <w:t xml:space="preserve">ndigenous tenure rights are protected is that many </w:t>
      </w:r>
      <w:r w:rsidR="005B7220">
        <w:rPr>
          <w:lang w:val="en-US"/>
        </w:rPr>
        <w:t>i</w:t>
      </w:r>
      <w:r w:rsidRPr="007B3B00">
        <w:rPr>
          <w:lang w:val="en-US"/>
        </w:rPr>
        <w:t>ndigenous communities reside in areas which are rich in natural resources.</w:t>
      </w:r>
    </w:p>
    <w:p w:rsidR="0074227C" w:rsidRPr="007B3B00" w:rsidRDefault="009C5481" w:rsidP="0074227C">
      <w:pPr>
        <w:pStyle w:val="AllensHeading3"/>
        <w:rPr>
          <w:rFonts w:eastAsiaTheme="minorHAnsi"/>
          <w:b/>
          <w:lang w:val="en-US" w:eastAsia="en-US"/>
        </w:rPr>
      </w:pPr>
      <w:r w:rsidRPr="007B3B00">
        <w:rPr>
          <w:rFonts w:eastAsiaTheme="minorHAnsi"/>
          <w:b/>
          <w:lang w:val="en-US" w:eastAsia="en-US"/>
        </w:rPr>
        <w:t>Is there conflict between indigenous groups regarding land ownership?</w:t>
      </w:r>
      <w:r w:rsidR="0074227C" w:rsidRPr="007B3B00">
        <w:rPr>
          <w:rFonts w:eastAsiaTheme="minorHAnsi"/>
          <w:b/>
          <w:lang w:val="en-US" w:eastAsia="en-US"/>
        </w:rPr>
        <w:t xml:space="preserve"> Are there mechanisms for resolving these conflicts?</w:t>
      </w:r>
    </w:p>
    <w:p w:rsidR="00755333" w:rsidRPr="00035187" w:rsidRDefault="00755333" w:rsidP="00F226A5">
      <w:pPr>
        <w:pStyle w:val="AllensHeading3"/>
        <w:numPr>
          <w:ilvl w:val="0"/>
          <w:numId w:val="0"/>
        </w:numPr>
        <w:ind w:left="1418"/>
      </w:pPr>
      <w:r w:rsidRPr="00035187">
        <w:t xml:space="preserve">IPRA contains a number of provisions to deal with conflict arising from </w:t>
      </w:r>
      <w:r w:rsidR="005B7220">
        <w:t>i</w:t>
      </w:r>
      <w:r w:rsidRPr="00035187">
        <w:t>ndigenous land ownership. Section 15 provides that:</w:t>
      </w:r>
    </w:p>
    <w:p w:rsidR="00755333" w:rsidRPr="0045220C" w:rsidRDefault="00755333" w:rsidP="00F226A5">
      <w:pPr>
        <w:pStyle w:val="NormalIndent"/>
        <w:ind w:left="2160"/>
        <w:rPr>
          <w:rFonts w:eastAsiaTheme="minorHAnsi"/>
          <w:sz w:val="18"/>
          <w:szCs w:val="18"/>
          <w:lang w:eastAsia="en-US"/>
        </w:rPr>
      </w:pPr>
      <w:r w:rsidRPr="0045220C">
        <w:rPr>
          <w:rFonts w:eastAsiaTheme="minorHAnsi"/>
          <w:sz w:val="18"/>
          <w:szCs w:val="18"/>
          <w:lang w:eastAsia="en-US"/>
        </w:rPr>
        <w:t>ICCs/IPs have the right to use their own commonly accepted justice systems, conflict resolution institutions, peace building processes or mechanisms and other customary laws and practices within their respective communities and as may be compatible with the national legal system a</w:t>
      </w:r>
      <w:r w:rsidR="000A5AC0">
        <w:rPr>
          <w:rFonts w:eastAsiaTheme="minorHAnsi"/>
          <w:sz w:val="18"/>
          <w:szCs w:val="18"/>
          <w:lang w:eastAsia="en-US"/>
        </w:rPr>
        <w:t>nd with internationally recognis</w:t>
      </w:r>
      <w:r w:rsidRPr="0045220C">
        <w:rPr>
          <w:rFonts w:eastAsiaTheme="minorHAnsi"/>
          <w:sz w:val="18"/>
          <w:szCs w:val="18"/>
          <w:lang w:eastAsia="en-US"/>
        </w:rPr>
        <w:t>ed human rights.</w:t>
      </w:r>
    </w:p>
    <w:p w:rsidR="00755333" w:rsidRPr="00035187" w:rsidRDefault="00755333" w:rsidP="00F226A5">
      <w:pPr>
        <w:pStyle w:val="NormalIndent"/>
        <w:ind w:left="1440"/>
        <w:rPr>
          <w:rFonts w:eastAsiaTheme="minorHAnsi"/>
          <w:lang w:eastAsia="en-US"/>
        </w:rPr>
      </w:pPr>
      <w:r w:rsidRPr="00035187">
        <w:rPr>
          <w:rFonts w:eastAsiaTheme="minorHAnsi"/>
          <w:lang w:eastAsia="en-US"/>
        </w:rPr>
        <w:t>Furthermore, the customary laws of the ICCs/IPs of the land on which the conflict arises are 'applied first with respect to property rights, claims and ownership, hereditary succession and settlement of land disputes'.</w:t>
      </w:r>
      <w:r w:rsidRPr="00035187">
        <w:rPr>
          <w:rStyle w:val="FootnoteReference"/>
          <w:rFonts w:eastAsiaTheme="minorHAnsi"/>
          <w:lang w:eastAsia="en-US"/>
        </w:rPr>
        <w:footnoteReference w:id="146"/>
      </w:r>
    </w:p>
    <w:p w:rsidR="00755333" w:rsidRPr="00035187" w:rsidRDefault="00755333" w:rsidP="00F226A5">
      <w:pPr>
        <w:pStyle w:val="NormalIndent"/>
        <w:ind w:left="1440"/>
        <w:rPr>
          <w:rFonts w:eastAsiaTheme="minorHAnsi"/>
          <w:lang w:eastAsia="en-US"/>
        </w:rPr>
      </w:pPr>
      <w:r w:rsidRPr="00035187">
        <w:rPr>
          <w:rFonts w:eastAsiaTheme="minorHAnsi"/>
          <w:lang w:eastAsia="en-US"/>
        </w:rPr>
        <w:t>IPRA provides that the NCIP has jurisdiction 'over all claims and disputes involving rights of ICCs/IPs' where 'parties have exhausted all remedies provided under their customary laws' (with the Council of Elders/Leaders participating in the attempt to settle the dispute filing a petition with the NCIP).</w:t>
      </w:r>
      <w:r w:rsidRPr="00035187">
        <w:rPr>
          <w:rStyle w:val="FootnoteReference"/>
          <w:rFonts w:eastAsiaTheme="minorHAnsi"/>
          <w:lang w:eastAsia="en-US"/>
        </w:rPr>
        <w:footnoteReference w:id="147"/>
      </w:r>
      <w:r w:rsidRPr="00035187">
        <w:rPr>
          <w:rFonts w:eastAsiaTheme="minorHAnsi"/>
          <w:lang w:eastAsia="en-US"/>
        </w:rPr>
        <w:t xml:space="preserve"> NCIP has the power to expropriate lands to resolve conflicts in the 'common good', permitting it to take legal action to cancel officially documented titles acquired illegally.</w:t>
      </w:r>
      <w:r w:rsidRPr="00035187">
        <w:rPr>
          <w:rStyle w:val="FootnoteReference"/>
          <w:rFonts w:eastAsiaTheme="minorHAnsi"/>
          <w:lang w:eastAsia="en-US"/>
        </w:rPr>
        <w:footnoteReference w:id="148"/>
      </w:r>
    </w:p>
    <w:p w:rsidR="00755333" w:rsidRPr="00035187" w:rsidRDefault="00755333" w:rsidP="00F226A5">
      <w:pPr>
        <w:pStyle w:val="NormalIndent"/>
        <w:ind w:left="1440"/>
        <w:rPr>
          <w:rFonts w:eastAsiaTheme="minorHAnsi"/>
          <w:lang w:eastAsia="en-US"/>
        </w:rPr>
      </w:pPr>
      <w:r w:rsidRPr="00035187">
        <w:rPr>
          <w:rFonts w:eastAsiaTheme="minorHAnsi"/>
          <w:lang w:eastAsia="en-US"/>
        </w:rPr>
        <w:t xml:space="preserve">These dispute resolution mechanisms may be capable of resolving disputes between </w:t>
      </w:r>
      <w:r w:rsidR="005B7220">
        <w:rPr>
          <w:rFonts w:eastAsiaTheme="minorHAnsi"/>
          <w:lang w:eastAsia="en-US"/>
        </w:rPr>
        <w:t>i</w:t>
      </w:r>
      <w:r w:rsidRPr="00035187">
        <w:rPr>
          <w:rFonts w:eastAsiaTheme="minorHAnsi"/>
          <w:lang w:eastAsia="en-US"/>
        </w:rPr>
        <w:t xml:space="preserve">ndigenous groups, such as by applying the customary law of two different groups (with NCIP as a mediator), or applying the customary law of the group on whose land the dispute occurs. Nevertheless, this is purely speculative as the dispute resolution provisions in IPRA appear to be primarily directed towards conflicts between </w:t>
      </w:r>
      <w:r w:rsidR="005B7220">
        <w:rPr>
          <w:rFonts w:eastAsiaTheme="minorHAnsi"/>
          <w:lang w:eastAsia="en-US"/>
        </w:rPr>
        <w:t xml:space="preserve">IPs </w:t>
      </w:r>
      <w:r w:rsidRPr="00035187">
        <w:rPr>
          <w:rFonts w:eastAsiaTheme="minorHAnsi"/>
          <w:lang w:eastAsia="en-US"/>
        </w:rPr>
        <w:t>and non</w:t>
      </w:r>
      <w:r w:rsidR="005B7220">
        <w:rPr>
          <w:rFonts w:eastAsiaTheme="minorHAnsi"/>
          <w:lang w:eastAsia="en-US"/>
        </w:rPr>
        <w:t>-i</w:t>
      </w:r>
      <w:r w:rsidRPr="00035187">
        <w:rPr>
          <w:rFonts w:eastAsiaTheme="minorHAnsi"/>
          <w:lang w:eastAsia="en-US"/>
        </w:rPr>
        <w:t xml:space="preserve">ndigenous parties. </w:t>
      </w:r>
      <w:r w:rsidR="007A2932">
        <w:rPr>
          <w:rFonts w:eastAsiaTheme="minorHAnsi"/>
          <w:lang w:eastAsia="en-US"/>
        </w:rPr>
        <w:t xml:space="preserve">IPRA </w:t>
      </w:r>
      <w:r w:rsidRPr="00035187">
        <w:rPr>
          <w:rFonts w:eastAsiaTheme="minorHAnsi"/>
          <w:lang w:eastAsia="en-US"/>
        </w:rPr>
        <w:t xml:space="preserve">does not expressly envision conflicts between </w:t>
      </w:r>
      <w:r w:rsidR="005B7220">
        <w:rPr>
          <w:rFonts w:eastAsiaTheme="minorHAnsi"/>
          <w:lang w:eastAsia="en-US"/>
        </w:rPr>
        <w:t>i</w:t>
      </w:r>
      <w:r w:rsidRPr="00035187">
        <w:rPr>
          <w:rFonts w:eastAsiaTheme="minorHAnsi"/>
          <w:lang w:eastAsia="en-US"/>
        </w:rPr>
        <w:t>ndigenous groups.</w:t>
      </w:r>
    </w:p>
    <w:p w:rsidR="00755333" w:rsidRPr="00035187" w:rsidRDefault="00755333" w:rsidP="00F226A5">
      <w:pPr>
        <w:pStyle w:val="NormalIndent"/>
        <w:ind w:left="1440"/>
        <w:rPr>
          <w:rFonts w:eastAsiaTheme="minorHAnsi"/>
          <w:lang w:eastAsia="en-US"/>
        </w:rPr>
      </w:pPr>
      <w:r w:rsidRPr="00035187">
        <w:rPr>
          <w:rFonts w:eastAsiaTheme="minorHAnsi"/>
          <w:lang w:eastAsia="en-US"/>
        </w:rPr>
        <w:t>Furthermore, in the Cordillera region, 'boundary disputes have increased' since the implementation of IPRA.</w:t>
      </w:r>
      <w:r w:rsidRPr="00035187">
        <w:rPr>
          <w:rStyle w:val="FootnoteReference"/>
          <w:rFonts w:eastAsiaTheme="minorHAnsi"/>
          <w:lang w:eastAsia="en-US"/>
        </w:rPr>
        <w:footnoteReference w:id="149"/>
      </w:r>
      <w:r w:rsidRPr="00035187">
        <w:rPr>
          <w:rFonts w:eastAsiaTheme="minorHAnsi"/>
          <w:lang w:eastAsia="en-US"/>
        </w:rPr>
        <w:t xml:space="preserve"> A notable example is a conflict over the delineation of ancestral domains between members of two clans of the </w:t>
      </w:r>
      <w:proofErr w:type="spellStart"/>
      <w:r w:rsidRPr="00035187">
        <w:rPr>
          <w:rFonts w:eastAsiaTheme="minorHAnsi"/>
          <w:iCs/>
          <w:lang w:eastAsia="en-US"/>
        </w:rPr>
        <w:t>Masadiit</w:t>
      </w:r>
      <w:proofErr w:type="spellEnd"/>
      <w:r w:rsidR="00EE3A10">
        <w:rPr>
          <w:rFonts w:eastAsiaTheme="minorHAnsi"/>
          <w:iCs/>
          <w:lang w:eastAsia="en-US"/>
        </w:rPr>
        <w:t xml:space="preserve"> </w:t>
      </w:r>
      <w:r w:rsidRPr="00035187">
        <w:rPr>
          <w:rFonts w:eastAsiaTheme="minorHAnsi"/>
          <w:lang w:eastAsia="en-US"/>
        </w:rPr>
        <w:t xml:space="preserve">tribe in </w:t>
      </w:r>
      <w:proofErr w:type="spellStart"/>
      <w:r w:rsidRPr="00035187">
        <w:rPr>
          <w:rFonts w:eastAsiaTheme="minorHAnsi"/>
          <w:lang w:eastAsia="en-US"/>
        </w:rPr>
        <w:t>Abra</w:t>
      </w:r>
      <w:proofErr w:type="spellEnd"/>
      <w:r w:rsidRPr="00035187">
        <w:rPr>
          <w:rFonts w:eastAsiaTheme="minorHAnsi"/>
          <w:lang w:eastAsia="en-US"/>
        </w:rPr>
        <w:t>.</w:t>
      </w:r>
      <w:r w:rsidRPr="00035187">
        <w:rPr>
          <w:rStyle w:val="FootnoteReference"/>
          <w:rFonts w:eastAsiaTheme="minorHAnsi"/>
          <w:lang w:eastAsia="en-US"/>
        </w:rPr>
        <w:footnoteReference w:id="150"/>
      </w:r>
    </w:p>
    <w:p w:rsidR="00031067" w:rsidRDefault="00031067" w:rsidP="00031067">
      <w:pPr>
        <w:pStyle w:val="AllensHeading2"/>
        <w:rPr>
          <w:rFonts w:eastAsiaTheme="minorHAnsi"/>
          <w:lang w:val="en-US" w:eastAsia="en-US"/>
        </w:rPr>
      </w:pPr>
      <w:bookmarkStart w:id="52" w:name="_Toc513116256"/>
      <w:r w:rsidRPr="00035187">
        <w:rPr>
          <w:rFonts w:eastAsiaTheme="minorHAnsi"/>
          <w:lang w:val="en-US" w:eastAsia="en-US"/>
        </w:rPr>
        <w:t>Minority groups</w:t>
      </w:r>
      <w:bookmarkEnd w:id="52"/>
    </w:p>
    <w:p w:rsidR="00035187" w:rsidRPr="00035187" w:rsidRDefault="00035187" w:rsidP="00035187">
      <w:pPr>
        <w:pStyle w:val="NormalIndent"/>
        <w:rPr>
          <w:rFonts w:eastAsiaTheme="minorHAnsi"/>
          <w:lang w:val="en-US" w:eastAsia="en-US"/>
        </w:rPr>
      </w:pPr>
      <w:r w:rsidRPr="00035187">
        <w:rPr>
          <w:rFonts w:eastAsiaTheme="minorHAnsi"/>
          <w:lang w:val="en-US" w:eastAsia="en-US"/>
        </w:rPr>
        <w:t xml:space="preserve">We have not identified any additional minority groups in the Philippines that were not covered in </w:t>
      </w:r>
      <w:hyperlink w:anchor="Indigenous" w:history="1">
        <w:r w:rsidRPr="000F1E06">
          <w:rPr>
            <w:rStyle w:val="Hyperlink"/>
            <w:rFonts w:eastAsiaTheme="minorHAnsi"/>
            <w:color w:val="auto"/>
            <w:u w:val="none"/>
            <w:lang w:val="en-US" w:eastAsia="en-US"/>
          </w:rPr>
          <w:t>section 3.2</w:t>
        </w:r>
      </w:hyperlink>
      <w:r w:rsidRPr="000F1E06">
        <w:rPr>
          <w:rFonts w:eastAsiaTheme="minorHAnsi"/>
          <w:lang w:val="en-US" w:eastAsia="en-US"/>
        </w:rPr>
        <w:t>.</w:t>
      </w:r>
    </w:p>
    <w:p w:rsidR="00256478" w:rsidRPr="00256478" w:rsidRDefault="00031067" w:rsidP="00031067">
      <w:pPr>
        <w:pStyle w:val="AllensHeading2"/>
        <w:rPr>
          <w:rFonts w:eastAsiaTheme="minorHAnsi"/>
          <w:lang w:val="en-US" w:eastAsia="en-US"/>
        </w:rPr>
      </w:pPr>
      <w:bookmarkStart w:id="53" w:name="InformalSettlements"/>
      <w:bookmarkStart w:id="54" w:name="_Toc513116257"/>
      <w:bookmarkEnd w:id="53"/>
      <w:r w:rsidRPr="00256478">
        <w:rPr>
          <w:rFonts w:eastAsiaTheme="minorHAnsi"/>
          <w:lang w:val="en-US" w:eastAsia="en-US"/>
        </w:rPr>
        <w:lastRenderedPageBreak/>
        <w:t>Landless people/</w:t>
      </w:r>
      <w:r w:rsidR="00DB0B05">
        <w:rPr>
          <w:rFonts w:eastAsiaTheme="minorHAnsi"/>
          <w:lang w:val="en-US" w:eastAsia="en-US"/>
        </w:rPr>
        <w:t>informal settlers</w:t>
      </w:r>
      <w:bookmarkEnd w:id="54"/>
    </w:p>
    <w:p w:rsidR="00256478" w:rsidRPr="003C00D8" w:rsidRDefault="00256478" w:rsidP="008670C1">
      <w:pPr>
        <w:pStyle w:val="level3"/>
        <w:numPr>
          <w:ilvl w:val="2"/>
          <w:numId w:val="23"/>
        </w:numPr>
        <w:rPr>
          <w:b/>
        </w:rPr>
      </w:pPr>
      <w:r w:rsidRPr="003C00D8">
        <w:rPr>
          <w:b/>
        </w:rPr>
        <w:t>Do landless people/</w:t>
      </w:r>
      <w:r w:rsidR="003B34B8">
        <w:rPr>
          <w:b/>
        </w:rPr>
        <w:t>informal settlers</w:t>
      </w:r>
      <w:r w:rsidRPr="003C00D8">
        <w:rPr>
          <w:b/>
        </w:rPr>
        <w:t xml:space="preserve"> have rights to land and/or housing (</w:t>
      </w:r>
      <w:proofErr w:type="spellStart"/>
      <w:r w:rsidRPr="003C00D8">
        <w:rPr>
          <w:b/>
        </w:rPr>
        <w:t>eg</w:t>
      </w:r>
      <w:proofErr w:type="spellEnd"/>
      <w:r w:rsidRPr="003C00D8">
        <w:rPr>
          <w:b/>
        </w:rPr>
        <w:t>, adverse possession)? If so, are those rights respected?</w:t>
      </w:r>
    </w:p>
    <w:p w:rsidR="00256478" w:rsidRPr="00035187" w:rsidRDefault="004A0FC0" w:rsidP="00F226A5">
      <w:pPr>
        <w:pStyle w:val="NormalIndent"/>
        <w:ind w:left="1418"/>
      </w:pPr>
      <w:r>
        <w:t xml:space="preserve">The </w:t>
      </w:r>
      <w:r w:rsidR="00256478" w:rsidRPr="00035187">
        <w:t xml:space="preserve">Philippines </w:t>
      </w:r>
      <w:r>
        <w:t>is said to have 'one of the worst</w:t>
      </w:r>
      <w:r w:rsidR="00256478" w:rsidRPr="00035187">
        <w:t xml:space="preserve"> land tenure problems in the developing world, with </w:t>
      </w:r>
      <w:r>
        <w:t xml:space="preserve">a </w:t>
      </w:r>
      <w:r w:rsidR="00256478" w:rsidRPr="00035187">
        <w:t>high percentage of landlessness'.</w:t>
      </w:r>
      <w:r w:rsidR="00256478" w:rsidRPr="00035187">
        <w:rPr>
          <w:rStyle w:val="FootnoteReference"/>
        </w:rPr>
        <w:footnoteReference w:id="151"/>
      </w:r>
      <w:r w:rsidR="00256478" w:rsidRPr="00035187">
        <w:t xml:space="preserve"> Furthermore, despite the government's efforts to reform land laws, 'the majority of rural people remain landless, and there is a swelling urban population living in informal settlements'.</w:t>
      </w:r>
      <w:r w:rsidR="00256478" w:rsidRPr="00035187">
        <w:rPr>
          <w:rStyle w:val="FootnoteReference"/>
        </w:rPr>
        <w:footnoteReference w:id="152"/>
      </w:r>
    </w:p>
    <w:p w:rsidR="00256478" w:rsidRPr="00035187" w:rsidRDefault="00256478" w:rsidP="00F226A5">
      <w:pPr>
        <w:pStyle w:val="NormalIndent"/>
        <w:ind w:left="1418"/>
      </w:pPr>
      <w:r w:rsidRPr="00035187">
        <w:t xml:space="preserve">It has been estimated that over one third of </w:t>
      </w:r>
      <w:r w:rsidR="00412F95">
        <w:t xml:space="preserve">the population </w:t>
      </w:r>
      <w:r w:rsidRPr="00035187">
        <w:t>live in informal settlements or slums, and that, in Manila, over half of the population 'lives on riverbanks, bridges, railroad easements, cemeteries, garbage dumps and idle lands.'</w:t>
      </w:r>
      <w:r w:rsidRPr="00035187">
        <w:rPr>
          <w:rStyle w:val="FootnoteReference"/>
        </w:rPr>
        <w:footnoteReference w:id="153"/>
      </w:r>
      <w:r w:rsidRPr="00035187">
        <w:t xml:space="preserve"> Beyond the metropolitan areas, 70</w:t>
      </w:r>
      <w:r w:rsidR="003C00D8">
        <w:t xml:space="preserve"> </w:t>
      </w:r>
      <w:r w:rsidRPr="00035187">
        <w:t>per cent of the</w:t>
      </w:r>
      <w:r w:rsidR="00DC23CB">
        <w:t xml:space="preserve"> </w:t>
      </w:r>
      <w:r w:rsidRPr="00035187">
        <w:t>10.2 million marginal farm workers do not own land.</w:t>
      </w:r>
      <w:r w:rsidRPr="00035187">
        <w:rPr>
          <w:rStyle w:val="FootnoteReference"/>
        </w:rPr>
        <w:footnoteReference w:id="154"/>
      </w:r>
    </w:p>
    <w:p w:rsidR="00256478" w:rsidRPr="007E61D7" w:rsidRDefault="00256478" w:rsidP="00F226A5">
      <w:pPr>
        <w:pStyle w:val="NormalIndent"/>
        <w:ind w:left="1418"/>
      </w:pPr>
      <w:r>
        <w:rPr>
          <w:bCs/>
          <w:iCs/>
        </w:rPr>
        <w:t xml:space="preserve">Although </w:t>
      </w:r>
      <w:r w:rsidR="00DC23CB">
        <w:rPr>
          <w:bCs/>
          <w:iCs/>
        </w:rPr>
        <w:t>informal settling</w:t>
      </w:r>
      <w:r>
        <w:rPr>
          <w:bCs/>
          <w:iCs/>
        </w:rPr>
        <w:t xml:space="preserve"> used to be illegal under </w:t>
      </w:r>
      <w:r w:rsidRPr="00D76DEE">
        <w:rPr>
          <w:bCs/>
          <w:i/>
          <w:iCs/>
        </w:rPr>
        <w:t>Presidential Decree</w:t>
      </w:r>
      <w:r>
        <w:rPr>
          <w:bCs/>
          <w:i/>
          <w:iCs/>
        </w:rPr>
        <w:t xml:space="preserve"> No. </w:t>
      </w:r>
      <w:r w:rsidRPr="00D76DEE">
        <w:rPr>
          <w:bCs/>
          <w:i/>
          <w:iCs/>
        </w:rPr>
        <w:t>772</w:t>
      </w:r>
      <w:r>
        <w:rPr>
          <w:bCs/>
          <w:i/>
          <w:iCs/>
        </w:rPr>
        <w:t>, Penalizing Squatting and Other Similar Acts</w:t>
      </w:r>
      <w:r w:rsidR="00412F95" w:rsidRPr="00412F95">
        <w:rPr>
          <w:bCs/>
          <w:iCs/>
        </w:rPr>
        <w:t>,</w:t>
      </w:r>
      <w:r>
        <w:rPr>
          <w:bCs/>
          <w:iCs/>
        </w:rPr>
        <w:t xml:space="preserve"> that </w:t>
      </w:r>
      <w:r w:rsidR="003C00D8">
        <w:rPr>
          <w:bCs/>
          <w:iCs/>
        </w:rPr>
        <w:t>d</w:t>
      </w:r>
      <w:r>
        <w:rPr>
          <w:bCs/>
          <w:iCs/>
        </w:rPr>
        <w:t xml:space="preserve">ecree was repealed by the </w:t>
      </w:r>
      <w:r w:rsidRPr="00D76DEE">
        <w:rPr>
          <w:bCs/>
          <w:i/>
          <w:iCs/>
        </w:rPr>
        <w:t xml:space="preserve">Anti-Squatting Law Repeal Act of 1997 </w:t>
      </w:r>
      <w:r w:rsidRPr="00F423AF">
        <w:rPr>
          <w:bCs/>
          <w:iCs/>
        </w:rPr>
        <w:t>(Republic Act 8368).</w:t>
      </w:r>
      <w:r w:rsidRPr="00F423AF">
        <w:rPr>
          <w:rStyle w:val="FootnoteReference"/>
        </w:rPr>
        <w:footnoteReference w:id="155"/>
      </w:r>
      <w:r w:rsidRPr="00F423AF">
        <w:rPr>
          <w:bCs/>
          <w:iCs/>
        </w:rPr>
        <w:t xml:space="preserve"> </w:t>
      </w:r>
      <w:r>
        <w:rPr>
          <w:bCs/>
          <w:iCs/>
        </w:rPr>
        <w:t xml:space="preserve">The primary law which now regulates </w:t>
      </w:r>
      <w:r w:rsidR="003C039F">
        <w:rPr>
          <w:bCs/>
          <w:iCs/>
        </w:rPr>
        <w:t>informal settlement</w:t>
      </w:r>
      <w:r>
        <w:rPr>
          <w:bCs/>
          <w:iCs/>
        </w:rPr>
        <w:t xml:space="preserve"> is UDHA</w:t>
      </w:r>
      <w:r>
        <w:rPr>
          <w:bCs/>
        </w:rPr>
        <w:t>. In providing protection</w:t>
      </w:r>
      <w:r>
        <w:t xml:space="preserve"> </w:t>
      </w:r>
      <w:r w:rsidRPr="008D6DDA">
        <w:t>against arbitrary eviction</w:t>
      </w:r>
      <w:r>
        <w:t xml:space="preserve"> of </w:t>
      </w:r>
      <w:r w:rsidR="003B34B8">
        <w:t>informal settlers</w:t>
      </w:r>
      <w:r>
        <w:t xml:space="preserve">, and demolition of their structures, </w:t>
      </w:r>
      <w:r w:rsidRPr="007E61D7">
        <w:t>UDHA can</w:t>
      </w:r>
      <w:r>
        <w:t xml:space="preserve"> be seen to largely decriminalise </w:t>
      </w:r>
      <w:r w:rsidR="00DC23CB">
        <w:rPr>
          <w:bCs/>
          <w:iCs/>
        </w:rPr>
        <w:t xml:space="preserve">informal settling </w:t>
      </w:r>
      <w:r w:rsidRPr="007E61D7">
        <w:t>and thereby provide 'recognition of informal tenure.'</w:t>
      </w:r>
      <w:r w:rsidRPr="007E61D7">
        <w:rPr>
          <w:rStyle w:val="FootnoteReference"/>
        </w:rPr>
        <w:footnoteReference w:id="156"/>
      </w:r>
    </w:p>
    <w:p w:rsidR="00256478" w:rsidRPr="007E61D7" w:rsidRDefault="00256478" w:rsidP="00F226A5">
      <w:pPr>
        <w:pStyle w:val="NormalIndent"/>
        <w:ind w:left="1418"/>
      </w:pPr>
      <w:r w:rsidRPr="007E61D7">
        <w:t>According to US Aid, UDHA provides 'the legal framework for urban land reform and housing for informal settlers, slum dwellers and other underprivileged',</w:t>
      </w:r>
      <w:r w:rsidRPr="007E61D7">
        <w:rPr>
          <w:rStyle w:val="FootnoteReference"/>
        </w:rPr>
        <w:footnoteReference w:id="157"/>
      </w:r>
      <w:r w:rsidRPr="007E61D7">
        <w:t xml:space="preserve"> although </w:t>
      </w:r>
      <w:r w:rsidR="00BA702D" w:rsidRPr="007E61D7">
        <w:t>its</w:t>
      </w:r>
      <w:r w:rsidRPr="007E61D7">
        <w:t xml:space="preserve"> application is limited to land in urban and </w:t>
      </w:r>
      <w:proofErr w:type="spellStart"/>
      <w:r w:rsidRPr="007E61D7">
        <w:t>urbanisable</w:t>
      </w:r>
      <w:proofErr w:type="spellEnd"/>
      <w:r w:rsidRPr="007E61D7">
        <w:t xml:space="preserve"> areas. There are penalties for violating UDHA, including up to six years' imprisonment and/or a fine of between five thousand and one hundred thousand pesos.</w:t>
      </w:r>
      <w:r w:rsidRPr="007E61D7">
        <w:rPr>
          <w:rStyle w:val="FootnoteReference"/>
          <w:bCs/>
        </w:rPr>
        <w:footnoteReference w:id="158"/>
      </w:r>
      <w:r w:rsidRPr="007E61D7">
        <w:t xml:space="preserve"> UDHA</w:t>
      </w:r>
      <w:r w:rsidR="00241326">
        <w:t xml:space="preserve"> provides</w:t>
      </w:r>
      <w:r w:rsidRPr="007E61D7">
        <w:t>:</w:t>
      </w:r>
    </w:p>
    <w:p w:rsidR="00EC4D28" w:rsidRDefault="00EC4D28" w:rsidP="00F226A5">
      <w:pPr>
        <w:pStyle w:val="AllensHeading4"/>
        <w:tabs>
          <w:tab w:val="clear" w:pos="2126"/>
          <w:tab w:val="num" w:pos="2835"/>
        </w:tabs>
        <w:ind w:left="2835"/>
      </w:pPr>
      <w:r w:rsidRPr="007E61D7">
        <w:t>for 'a comprehensive and continuing Urban Development and Housing Program' in association with the private sector which seeks to provide affordable housing to underprivileged and homeless citizens in urban areas and provide</w:t>
      </w:r>
      <w:r w:rsidRPr="00183F9D">
        <w:t xml:space="preserve"> for an equitable land tenure system that </w:t>
      </w:r>
      <w:r>
        <w:t xml:space="preserve">guarantees security of tenure for </w:t>
      </w:r>
      <w:r w:rsidRPr="00183F9D">
        <w:t>beneficiaries</w:t>
      </w:r>
      <w:r>
        <w:t>;</w:t>
      </w:r>
      <w:r>
        <w:rPr>
          <w:rStyle w:val="FootnoteReference"/>
          <w:bCs/>
        </w:rPr>
        <w:footnoteReference w:id="159"/>
      </w:r>
    </w:p>
    <w:p w:rsidR="00EC4D28" w:rsidRPr="007E61D7" w:rsidRDefault="00EC4D28" w:rsidP="00F226A5">
      <w:pPr>
        <w:pStyle w:val="AllensHeading4"/>
        <w:ind w:left="2835"/>
        <w:rPr>
          <w:bCs/>
        </w:rPr>
      </w:pPr>
      <w:proofErr w:type="gramStart"/>
      <w:r w:rsidRPr="007E61D7">
        <w:rPr>
          <w:bCs/>
        </w:rPr>
        <w:t>that</w:t>
      </w:r>
      <w:proofErr w:type="gramEnd"/>
      <w:r w:rsidRPr="007E61D7">
        <w:rPr>
          <w:bCs/>
        </w:rPr>
        <w:t xml:space="preserve"> sociali</w:t>
      </w:r>
      <w:r w:rsidR="003C00D8">
        <w:rPr>
          <w:bCs/>
        </w:rPr>
        <w:t>s</w:t>
      </w:r>
      <w:r w:rsidRPr="007E61D7">
        <w:rPr>
          <w:bCs/>
        </w:rPr>
        <w:t>ed housing is 'the primary strategy in providing shelter for the underprivileged and homeless'.</w:t>
      </w:r>
      <w:r w:rsidRPr="007E61D7">
        <w:rPr>
          <w:rStyle w:val="FootnoteReference"/>
          <w:bCs/>
        </w:rPr>
        <w:footnoteReference w:id="160"/>
      </w:r>
      <w:r w:rsidRPr="007E61D7">
        <w:rPr>
          <w:bCs/>
        </w:rPr>
        <w:t> </w:t>
      </w:r>
      <w:r w:rsidRPr="007E61D7">
        <w:t xml:space="preserve">Modes of land acquisition under UDHA include a </w:t>
      </w:r>
      <w:r w:rsidRPr="007E61D7">
        <w:rPr>
          <w:bCs/>
        </w:rPr>
        <w:t>community mortgage, land swapping, assembly or consolidation, negotiated purchase and donation to the Government</w:t>
      </w:r>
      <w:r w:rsidR="00241326">
        <w:rPr>
          <w:bCs/>
        </w:rPr>
        <w:t>;</w:t>
      </w:r>
      <w:r w:rsidRPr="007E61D7">
        <w:rPr>
          <w:rStyle w:val="FootnoteReference"/>
          <w:bCs/>
        </w:rPr>
        <w:footnoteReference w:id="161"/>
      </w:r>
    </w:p>
    <w:p w:rsidR="00EC4D28" w:rsidRPr="007E61D7" w:rsidRDefault="00EC4D28" w:rsidP="00241326">
      <w:pPr>
        <w:pStyle w:val="AllensHeading4"/>
        <w:tabs>
          <w:tab w:val="clear" w:pos="2126"/>
          <w:tab w:val="num" w:pos="2834"/>
        </w:tabs>
        <w:ind w:left="2834"/>
      </w:pPr>
      <w:proofErr w:type="gramStart"/>
      <w:r w:rsidRPr="007E61D7">
        <w:t>that</w:t>
      </w:r>
      <w:proofErr w:type="gramEnd"/>
      <w:r w:rsidRPr="007E61D7">
        <w:t xml:space="preserve"> eligibility for a socialised housing program includes being an underprivileged and homeless Filipino citizen, not owning any real </w:t>
      </w:r>
      <w:r w:rsidRPr="007E61D7">
        <w:lastRenderedPageBreak/>
        <w:t>property and not being</w:t>
      </w:r>
      <w:r w:rsidRPr="00241326">
        <w:rPr>
          <w:iCs/>
        </w:rPr>
        <w:t xml:space="preserve"> </w:t>
      </w:r>
      <w:r w:rsidRPr="007E61D7">
        <w:t>a professional squatter or a member of squatting syndicates.</w:t>
      </w:r>
      <w:r w:rsidRPr="007E61D7">
        <w:rPr>
          <w:rStyle w:val="FootnoteReference"/>
          <w:bCs/>
        </w:rPr>
        <w:footnoteReference w:id="162"/>
      </w:r>
      <w:r w:rsidR="00241326">
        <w:t xml:space="preserve"> (</w:t>
      </w:r>
      <w:r w:rsidRPr="007E61D7">
        <w:t>Professional squatters are intruders of lands reserved for socialised housing, 'individuals or groups who occupy lands without the express consent of the landowner and who have sufficient income for legitimate housing', and who have previously been awarded government housing but disposed of it to settle illegally.</w:t>
      </w:r>
      <w:r w:rsidRPr="007E61D7">
        <w:rPr>
          <w:rStyle w:val="FootnoteReference"/>
          <w:bCs/>
        </w:rPr>
        <w:footnoteReference w:id="163"/>
      </w:r>
      <w:r w:rsidR="00241326">
        <w:t>);</w:t>
      </w:r>
    </w:p>
    <w:p w:rsidR="00EC4D28" w:rsidRPr="007E61D7" w:rsidRDefault="00EC4D28" w:rsidP="00F226A5">
      <w:pPr>
        <w:pStyle w:val="AllensHeading4"/>
        <w:tabs>
          <w:tab w:val="clear" w:pos="2126"/>
          <w:tab w:val="num" w:pos="2834"/>
        </w:tabs>
        <w:ind w:left="2834"/>
      </w:pPr>
      <w:r w:rsidRPr="007E61D7">
        <w:t>'measures to identify and effectively curtail the nefarious and illegal activities of professional squatters and squatting syndicates', with identified squatters or squatting syndicates able to be summarily evicted, have their structures demolished, be disqualified from UDHA's housing program, and potentially face a penalty of six years' imprisonment and/or a fine between sixty thousand to one hundred thousand pesos</w:t>
      </w:r>
      <w:r w:rsidR="00241326">
        <w:t>;</w:t>
      </w:r>
      <w:r w:rsidRPr="007E61D7">
        <w:rPr>
          <w:rStyle w:val="FootnoteReference"/>
          <w:bCs/>
        </w:rPr>
        <w:footnoteReference w:id="164"/>
      </w:r>
    </w:p>
    <w:p w:rsidR="00EC4D28" w:rsidRPr="007E61D7" w:rsidRDefault="00EC4D28" w:rsidP="00F226A5">
      <w:pPr>
        <w:pStyle w:val="AllensHeading4"/>
        <w:ind w:left="2834"/>
      </w:pPr>
      <w:r w:rsidRPr="007E61D7">
        <w:t>that eviction or demolition are 'discouraged', although they may be permitted where danger areas such as railroad tracks or garbage dumps are occupied, when funded government infrastructure projects are about to be implemented, or when there is a court order for eviction and demolition. Conditions include that notice be given to underprivileged and homeless citizens at least thirty days prior, adequate consultation occur, government officials be present during eviction or demolition, which must occur under certain conditions and at certain times, and adequate relocation be provided.</w:t>
      </w:r>
      <w:r w:rsidRPr="007E61D7">
        <w:rPr>
          <w:rStyle w:val="FootnoteReference"/>
          <w:bCs/>
        </w:rPr>
        <w:footnoteReference w:id="165"/>
      </w:r>
      <w:r w:rsidR="00241326">
        <w:t xml:space="preserve"> (</w:t>
      </w:r>
      <w:r w:rsidRPr="007E61D7">
        <w:t>Note that there is a moratorium on evicting program beneficiaries and demolishing their housing or dwelling units for t</w:t>
      </w:r>
      <w:r w:rsidR="0045220C">
        <w:t>hree years from the effective date of UDHA</w:t>
      </w:r>
      <w:r w:rsidRPr="007E61D7">
        <w:t>, with some exceptions.</w:t>
      </w:r>
      <w:r w:rsidRPr="007E61D7">
        <w:rPr>
          <w:rStyle w:val="FootnoteReference"/>
          <w:bCs/>
        </w:rPr>
        <w:footnoteReference w:id="166"/>
      </w:r>
      <w:r w:rsidR="00241326">
        <w:t>);</w:t>
      </w:r>
    </w:p>
    <w:p w:rsidR="00EC4D28" w:rsidRPr="007E61D7" w:rsidRDefault="00EC4D28" w:rsidP="00F226A5">
      <w:pPr>
        <w:pStyle w:val="AllensHeading4"/>
        <w:ind w:left="2834"/>
      </w:pPr>
      <w:r w:rsidRPr="007E61D7">
        <w:t>that, within two years from UDHA being effective, government bodies 'shall implement the relocation and resettlement of persons living in danger areas' and ensure 'basic services and facilities and access to employment and livelihood opportunities'</w:t>
      </w:r>
      <w:r w:rsidR="00241326">
        <w:t>;</w:t>
      </w:r>
      <w:r w:rsidRPr="007E61D7">
        <w:rPr>
          <w:rStyle w:val="FootnoteReference"/>
          <w:bCs/>
        </w:rPr>
        <w:footnoteReference w:id="167"/>
      </w:r>
      <w:r w:rsidR="00241326">
        <w:t xml:space="preserve"> and</w:t>
      </w:r>
    </w:p>
    <w:p w:rsidR="00EC4D28" w:rsidRPr="007E61D7" w:rsidRDefault="00EC4D28" w:rsidP="00F226A5">
      <w:pPr>
        <w:pStyle w:val="AllensHeading4"/>
        <w:ind w:left="2834"/>
      </w:pPr>
      <w:proofErr w:type="gramStart"/>
      <w:r w:rsidRPr="007E61D7">
        <w:t>that</w:t>
      </w:r>
      <w:proofErr w:type="gramEnd"/>
      <w:r w:rsidRPr="007E61D7">
        <w:t xml:space="preserve"> constructing structures, including illegal dwellings, in certain areas </w:t>
      </w:r>
      <w:r w:rsidR="00241326">
        <w:t xml:space="preserve">be </w:t>
      </w:r>
      <w:r w:rsidRPr="007E61D7">
        <w:t>prohibited.</w:t>
      </w:r>
      <w:r w:rsidRPr="007E61D7">
        <w:rPr>
          <w:rStyle w:val="FootnoteReference"/>
          <w:bCs/>
        </w:rPr>
        <w:footnoteReference w:id="168"/>
      </w:r>
    </w:p>
    <w:p w:rsidR="00EC4D28" w:rsidRPr="007E61D7" w:rsidRDefault="00EC4D28" w:rsidP="00F226A5">
      <w:pPr>
        <w:pStyle w:val="NormalIndent"/>
        <w:ind w:left="1428"/>
      </w:pPr>
      <w:r w:rsidRPr="007E61D7">
        <w:t xml:space="preserve">In addition to the protections provided in UDHA, </w:t>
      </w:r>
      <w:r w:rsidR="00B4724A">
        <w:t xml:space="preserve">section </w:t>
      </w:r>
      <w:r w:rsidRPr="007E61D7">
        <w:t>10 of IPRA prohibits unauthorised and unlawful '</w:t>
      </w:r>
      <w:r w:rsidRPr="007E61D7">
        <w:rPr>
          <w:rFonts w:eastAsiaTheme="minorHAnsi"/>
          <w:lang w:eastAsia="en-US"/>
        </w:rPr>
        <w:t xml:space="preserve">intrusion upon, or use of any portion of the ancestral domain, or any violation of the rights' </w:t>
      </w:r>
      <w:r w:rsidR="00126EC1">
        <w:rPr>
          <w:rFonts w:eastAsiaTheme="minorHAnsi"/>
          <w:lang w:eastAsia="en-US"/>
        </w:rPr>
        <w:t>under IPRA</w:t>
      </w:r>
      <w:r w:rsidRPr="007E61D7">
        <w:rPr>
          <w:rFonts w:eastAsiaTheme="minorHAnsi"/>
          <w:lang w:eastAsia="en-US"/>
        </w:rPr>
        <w:t>.</w:t>
      </w:r>
      <w:r w:rsidRPr="007E61D7">
        <w:rPr>
          <w:rStyle w:val="FootnoteReference"/>
          <w:rFonts w:eastAsiaTheme="minorHAnsi"/>
          <w:lang w:eastAsia="en-US"/>
        </w:rPr>
        <w:footnoteReference w:id="169"/>
      </w:r>
      <w:r w:rsidRPr="007E61D7">
        <w:rPr>
          <w:rFonts w:eastAsiaTheme="minorHAnsi"/>
          <w:lang w:eastAsia="en-US"/>
        </w:rPr>
        <w:t xml:space="preserve"> Furthermore, </w:t>
      </w:r>
      <w:r w:rsidR="001B5C4C">
        <w:rPr>
          <w:rFonts w:eastAsiaTheme="minorHAnsi"/>
          <w:lang w:eastAsia="en-US"/>
        </w:rPr>
        <w:t xml:space="preserve">section 10 of </w:t>
      </w:r>
      <w:r w:rsidR="00126EC1">
        <w:rPr>
          <w:rFonts w:eastAsiaTheme="minorHAnsi"/>
          <w:lang w:eastAsia="en-US"/>
        </w:rPr>
        <w:t xml:space="preserve">Article </w:t>
      </w:r>
      <w:r w:rsidRPr="007E61D7">
        <w:rPr>
          <w:rFonts w:eastAsiaTheme="minorHAnsi"/>
          <w:lang w:eastAsia="en-US"/>
        </w:rPr>
        <w:t>X</w:t>
      </w:r>
      <w:r w:rsidR="001B5C4C">
        <w:rPr>
          <w:rFonts w:eastAsiaTheme="minorHAnsi"/>
          <w:lang w:eastAsia="en-US"/>
        </w:rPr>
        <w:t>I</w:t>
      </w:r>
      <w:r w:rsidRPr="007E61D7">
        <w:rPr>
          <w:rFonts w:eastAsiaTheme="minorHAnsi"/>
          <w:lang w:eastAsia="en-US"/>
        </w:rPr>
        <w:t>II</w:t>
      </w:r>
      <w:r w:rsidR="001B5C4C">
        <w:rPr>
          <w:rFonts w:eastAsiaTheme="minorHAnsi"/>
          <w:lang w:eastAsia="en-US"/>
        </w:rPr>
        <w:t xml:space="preserve"> </w:t>
      </w:r>
      <w:r w:rsidRPr="007E61D7">
        <w:rPr>
          <w:rFonts w:eastAsiaTheme="minorHAnsi"/>
          <w:lang w:eastAsia="en-US"/>
        </w:rPr>
        <w:t xml:space="preserve">of the Constitution </w:t>
      </w:r>
      <w:r w:rsidRPr="007E61D7">
        <w:t>provides that:</w:t>
      </w:r>
    </w:p>
    <w:p w:rsidR="00EC4D28" w:rsidRDefault="00EC4D28" w:rsidP="00F226A5">
      <w:pPr>
        <w:pStyle w:val="NormalIndent"/>
        <w:ind w:left="2148"/>
        <w:rPr>
          <w:sz w:val="18"/>
          <w:lang w:val="en-US"/>
        </w:rPr>
      </w:pPr>
      <w:r w:rsidRPr="007E61D7">
        <w:rPr>
          <w:sz w:val="18"/>
          <w:lang w:val="en-US"/>
        </w:rPr>
        <w:t>Urban or rural poor dwellers shall not be evicted nor their dwellings demolished, except in accordance with law and in a just and humane manner. No resettlement of urban or rural dwellers shall be undertaken without adequate consultation with them and the communities where they are to be relocated.</w:t>
      </w:r>
    </w:p>
    <w:p w:rsidR="00C16574" w:rsidRPr="007E61D7" w:rsidRDefault="00C16574" w:rsidP="00F226A5">
      <w:pPr>
        <w:pStyle w:val="NormalIndent"/>
        <w:ind w:left="2148"/>
        <w:rPr>
          <w:sz w:val="18"/>
          <w:lang w:val="en-US"/>
        </w:rPr>
      </w:pPr>
    </w:p>
    <w:p w:rsidR="00EC4D28" w:rsidRDefault="00EC4D28" w:rsidP="00F226A5">
      <w:pPr>
        <w:pStyle w:val="NormalIndent"/>
        <w:ind w:left="1417"/>
      </w:pPr>
      <w:r>
        <w:lastRenderedPageBreak/>
        <w:t xml:space="preserve">Section 2 of </w:t>
      </w:r>
      <w:r w:rsidR="007E61D7">
        <w:t>CARP</w:t>
      </w:r>
      <w:r w:rsidR="007E61D7" w:rsidRPr="007E61D7">
        <w:t xml:space="preserve"> </w:t>
      </w:r>
      <w:r w:rsidRPr="007E61D7">
        <w:t>sets out various</w:t>
      </w:r>
      <w:r>
        <w:t xml:space="preserve"> principles and policies, including:</w:t>
      </w:r>
    </w:p>
    <w:p w:rsidR="00EC4D28" w:rsidRPr="007E61D7" w:rsidRDefault="00EC4D28" w:rsidP="00F226A5">
      <w:pPr>
        <w:pStyle w:val="NormalIndent"/>
        <w:ind w:left="2160"/>
        <w:rPr>
          <w:sz w:val="18"/>
        </w:rPr>
      </w:pPr>
      <w:r w:rsidRPr="007E61D7">
        <w:rPr>
          <w:sz w:val="18"/>
        </w:rPr>
        <w:t>The welfare of the landless farmers and farm workers will receive highest consideration to promote social justice and to move the nation toward sound rural development and industrialization … a more equitable distribution and ownership of land shall be undertaken to provide farmers and farm workers with the opportunity to enhance their dignity and improve the quality of their lives through greater productivity of agricultural lands.</w:t>
      </w:r>
    </w:p>
    <w:p w:rsidR="00EC4D28" w:rsidRDefault="00EC4D28" w:rsidP="00F226A5">
      <w:pPr>
        <w:pStyle w:val="NormalIndent"/>
        <w:ind w:left="1451"/>
      </w:pPr>
      <w:r>
        <w:t xml:space="preserve">Despite </w:t>
      </w:r>
      <w:r w:rsidRPr="007E61D7">
        <w:t xml:space="preserve">the benefits of </w:t>
      </w:r>
      <w:r w:rsidR="00FD18D4">
        <w:t>CARP</w:t>
      </w:r>
      <w:r w:rsidRPr="007E61D7">
        <w:t xml:space="preserve">, however, </w:t>
      </w:r>
      <w:r w:rsidR="00FD18D4">
        <w:t xml:space="preserve">concern has been expressed </w:t>
      </w:r>
      <w:r w:rsidRPr="007E61D7">
        <w:t>about its 'unintended impacts … on non-beneficiaries, especially the farmers that are still landless and poor' and that 'the ability of the poor and the landless to gain access to land through established markets appear to have declined over the course of the program period.'</w:t>
      </w:r>
      <w:r w:rsidRPr="007E61D7">
        <w:rPr>
          <w:rStyle w:val="FootnoteReference"/>
        </w:rPr>
        <w:footnoteReference w:id="170"/>
      </w:r>
    </w:p>
    <w:p w:rsidR="00F96A91" w:rsidRPr="004B41C4" w:rsidRDefault="006A3EBE" w:rsidP="00F96A91">
      <w:pPr>
        <w:pStyle w:val="AllensHeading2"/>
      </w:pPr>
      <w:bookmarkStart w:id="55" w:name="_Toc513116258"/>
      <w:r>
        <w:t>Other groups</w:t>
      </w:r>
      <w:bookmarkEnd w:id="55"/>
    </w:p>
    <w:p w:rsidR="00F96A91" w:rsidRPr="00522D50" w:rsidRDefault="00B859EF" w:rsidP="00F96A91">
      <w:pPr>
        <w:pStyle w:val="AllensHeading3"/>
        <w:rPr>
          <w:b/>
        </w:rPr>
      </w:pPr>
      <w:r>
        <w:rPr>
          <w:b/>
        </w:rPr>
        <w:t>Which</w:t>
      </w:r>
      <w:r w:rsidR="00F96A91" w:rsidRPr="00522D50">
        <w:rPr>
          <w:b/>
        </w:rPr>
        <w:t xml:space="preserve"> other persons or groups </w:t>
      </w:r>
      <w:r w:rsidR="009C1522">
        <w:rPr>
          <w:b/>
        </w:rPr>
        <w:t xml:space="preserve">face </w:t>
      </w:r>
      <w:r w:rsidR="00F96A91" w:rsidRPr="00522D50">
        <w:rPr>
          <w:b/>
        </w:rPr>
        <w:t>difficulties in accessing or maintaining secure tenure (for example, due to internal displacement)</w:t>
      </w:r>
      <w:r w:rsidR="006A3EBE">
        <w:rPr>
          <w:b/>
        </w:rPr>
        <w:t>?</w:t>
      </w:r>
    </w:p>
    <w:p w:rsidR="00C34EE8" w:rsidRDefault="001603FC" w:rsidP="004B41C4">
      <w:pPr>
        <w:pStyle w:val="AllensHeading3"/>
        <w:numPr>
          <w:ilvl w:val="0"/>
          <w:numId w:val="0"/>
        </w:numPr>
        <w:ind w:left="1418"/>
      </w:pPr>
      <w:r>
        <w:t xml:space="preserve">As </w:t>
      </w:r>
      <w:r w:rsidR="00B859EF">
        <w:t>of</w:t>
      </w:r>
      <w:r>
        <w:t xml:space="preserve"> 2016</w:t>
      </w:r>
      <w:r w:rsidR="000B150A">
        <w:t xml:space="preserve">, </w:t>
      </w:r>
      <w:r w:rsidR="001C6CAE">
        <w:t>t</w:t>
      </w:r>
      <w:r w:rsidR="004B41C4">
        <w:t xml:space="preserve">here </w:t>
      </w:r>
      <w:r w:rsidR="00B73E72">
        <w:t xml:space="preserve">were </w:t>
      </w:r>
      <w:r w:rsidR="004B41C4">
        <w:t xml:space="preserve">an estimated </w:t>
      </w:r>
      <w:r>
        <w:t>87,000</w:t>
      </w:r>
      <w:r w:rsidR="004B41C4">
        <w:t xml:space="preserve"> </w:t>
      </w:r>
      <w:r w:rsidR="00B73E72">
        <w:t>i</w:t>
      </w:r>
      <w:r w:rsidR="00C03E08">
        <w:t xml:space="preserve">nternally </w:t>
      </w:r>
      <w:r w:rsidR="00B73E72">
        <w:t>d</w:t>
      </w:r>
      <w:r w:rsidR="004B41C4" w:rsidRPr="004B41C4">
        <w:t xml:space="preserve">isplaced </w:t>
      </w:r>
      <w:r w:rsidR="00B73E72">
        <w:t>p</w:t>
      </w:r>
      <w:r w:rsidR="004B41C4" w:rsidRPr="004B41C4">
        <w:t>ersons (</w:t>
      </w:r>
      <w:r w:rsidR="004B41C4" w:rsidRPr="00DD73CA">
        <w:rPr>
          <w:b/>
          <w:i/>
        </w:rPr>
        <w:t>IDP</w:t>
      </w:r>
      <w:r w:rsidR="004B41C4" w:rsidRPr="004B41C4">
        <w:t>s)</w:t>
      </w:r>
      <w:r w:rsidR="006D557C">
        <w:t xml:space="preserve"> in the Philippines</w:t>
      </w:r>
      <w:r w:rsidR="00522D50">
        <w:t xml:space="preserve"> primarily due to natural disasters or violent conflict</w:t>
      </w:r>
      <w:r w:rsidR="006D557C">
        <w:t>.</w:t>
      </w:r>
      <w:r w:rsidR="00DD73CA">
        <w:rPr>
          <w:rStyle w:val="FootnoteReference"/>
        </w:rPr>
        <w:footnoteReference w:id="171"/>
      </w:r>
      <w:r w:rsidR="006D557C">
        <w:t xml:space="preserve"> As is discussed in </w:t>
      </w:r>
      <w:hyperlink w:anchor="Section43B" w:history="1">
        <w:r w:rsidR="006D557C" w:rsidRPr="000F1E06">
          <w:rPr>
            <w:rStyle w:val="Hyperlink"/>
            <w:color w:val="auto"/>
            <w:u w:val="none"/>
          </w:rPr>
          <w:t>section 4.3(b) below</w:t>
        </w:r>
      </w:hyperlink>
      <w:r w:rsidR="006D557C" w:rsidRPr="000F1E06">
        <w:t xml:space="preserve">, notwithstanding </w:t>
      </w:r>
      <w:r w:rsidR="00DD73CA" w:rsidRPr="000F1E06">
        <w:t xml:space="preserve">that a draft law has been </w:t>
      </w:r>
      <w:r w:rsidR="001C6CAE" w:rsidRPr="000F1E06">
        <w:t>discussed</w:t>
      </w:r>
      <w:r w:rsidR="00DD73CA" w:rsidRPr="000F1E06">
        <w:t xml:space="preserve"> </w:t>
      </w:r>
      <w:r w:rsidR="00C03E08" w:rsidRPr="000F1E06">
        <w:t xml:space="preserve">and redrafted </w:t>
      </w:r>
      <w:r w:rsidR="00DD73CA" w:rsidRPr="000F1E06">
        <w:t>for more tha</w:t>
      </w:r>
      <w:r w:rsidR="00DD73CA">
        <w:t xml:space="preserve">n a decade, there are no </w:t>
      </w:r>
      <w:r w:rsidR="001C6CAE">
        <w:t>Filipino</w:t>
      </w:r>
      <w:r w:rsidR="00DD73CA">
        <w:t xml:space="preserve"> laws that </w:t>
      </w:r>
      <w:r w:rsidR="008B05CF">
        <w:t>enshrine</w:t>
      </w:r>
      <w:r w:rsidR="00DD73CA">
        <w:t xml:space="preserve"> government protection</w:t>
      </w:r>
      <w:r w:rsidR="00C03E08">
        <w:t xml:space="preserve"> for,</w:t>
      </w:r>
      <w:r w:rsidR="00DD73CA">
        <w:t xml:space="preserve"> or confer additional rights upon</w:t>
      </w:r>
      <w:r w:rsidR="00C03E08">
        <w:t>,</w:t>
      </w:r>
      <w:r w:rsidR="00DD73CA">
        <w:t xml:space="preserve"> IDPs. </w:t>
      </w:r>
      <w:r w:rsidR="00C34EE8">
        <w:t>This absence of protection</w:t>
      </w:r>
      <w:r w:rsidR="00D935C1">
        <w:t>,</w:t>
      </w:r>
      <w:r w:rsidR="00C34EE8">
        <w:t xml:space="preserve"> combined with the reality that many IDPs have weak tenure rights to begin with</w:t>
      </w:r>
      <w:r w:rsidR="009D5C10">
        <w:t>,</w:t>
      </w:r>
      <w:r w:rsidR="00C34EE8">
        <w:t xml:space="preserve"> renders IDPs particularly vulnerable.</w:t>
      </w:r>
    </w:p>
    <w:p w:rsidR="00D935C1" w:rsidRPr="009059BF" w:rsidRDefault="00E3020A" w:rsidP="00D935C1">
      <w:pPr>
        <w:pStyle w:val="AllensHeading4"/>
        <w:rPr>
          <w:b/>
        </w:rPr>
      </w:pPr>
      <w:r w:rsidRPr="009059BF">
        <w:rPr>
          <w:b/>
        </w:rPr>
        <w:t>Legal and practical difficulties for IDPs</w:t>
      </w:r>
    </w:p>
    <w:p w:rsidR="00E3020A" w:rsidRDefault="00E3020A" w:rsidP="00E3020A">
      <w:pPr>
        <w:pStyle w:val="AllensHeading3"/>
        <w:numPr>
          <w:ilvl w:val="0"/>
          <w:numId w:val="0"/>
        </w:numPr>
        <w:ind w:left="2126"/>
      </w:pPr>
      <w:r>
        <w:t>IDPs are vulnerable at the point in time at which they are displaced, and further disadvantaged when they attempt to return to their lands or relocate permanently.</w:t>
      </w:r>
    </w:p>
    <w:p w:rsidR="00E3020A" w:rsidRDefault="00C3123B" w:rsidP="00E3020A">
      <w:pPr>
        <w:pStyle w:val="AllensHeading3"/>
        <w:numPr>
          <w:ilvl w:val="0"/>
          <w:numId w:val="0"/>
        </w:numPr>
        <w:ind w:left="2126"/>
      </w:pPr>
      <w:r>
        <w:t xml:space="preserve">Recently displaced </w:t>
      </w:r>
      <w:r w:rsidR="00FB44BD">
        <w:t xml:space="preserve">IDPs </w:t>
      </w:r>
      <w:r w:rsidR="00F3365E">
        <w:t>experience</w:t>
      </w:r>
      <w:r w:rsidR="00E3020A">
        <w:t xml:space="preserve"> unique difficulties</w:t>
      </w:r>
      <w:r w:rsidR="00F3365E">
        <w:t xml:space="preserve">, many of which are </w:t>
      </w:r>
      <w:r w:rsidR="00E3020A">
        <w:t xml:space="preserve">summarised in a 2015 article published by Europe </w:t>
      </w:r>
      <w:proofErr w:type="spellStart"/>
      <w:r w:rsidR="00E3020A">
        <w:t>Solidaire</w:t>
      </w:r>
      <w:proofErr w:type="spellEnd"/>
      <w:r w:rsidR="00E3020A">
        <w:t xml:space="preserve"> Sans </w:t>
      </w:r>
      <w:r w:rsidR="00E3020A" w:rsidRPr="00324B92">
        <w:rPr>
          <w:lang w:val="fr-FR"/>
        </w:rPr>
        <w:t>Frontières</w:t>
      </w:r>
      <w:r w:rsidR="00E3020A">
        <w:t>:</w:t>
      </w:r>
    </w:p>
    <w:p w:rsidR="00E3020A" w:rsidRDefault="00E3020A" w:rsidP="00E3020A">
      <w:pPr>
        <w:pStyle w:val="Bullet3"/>
        <w:tabs>
          <w:tab w:val="clear" w:pos="2126"/>
          <w:tab w:val="num" w:pos="2834"/>
        </w:tabs>
        <w:ind w:left="2834"/>
      </w:pPr>
      <w:r w:rsidRPr="00263E60">
        <w:t xml:space="preserve">Some IDPs </w:t>
      </w:r>
      <w:r>
        <w:t xml:space="preserve">have </w:t>
      </w:r>
      <w:r w:rsidRPr="00263E60">
        <w:t>difficulty f</w:t>
      </w:r>
      <w:r>
        <w:t xml:space="preserve">inding refuge in host barangays, as staying with certain families may mean that </w:t>
      </w:r>
      <w:r w:rsidRPr="00263E60">
        <w:t>they are perceived to have affiliation</w:t>
      </w:r>
      <w:r>
        <w:t>s</w:t>
      </w:r>
      <w:r w:rsidRPr="00263E60">
        <w:t xml:space="preserve"> with</w:t>
      </w:r>
      <w:r>
        <w:t xml:space="preserve"> group</w:t>
      </w:r>
      <w:r w:rsidR="00F3365E">
        <w:t>s</w:t>
      </w:r>
      <w:r>
        <w:t xml:space="preserve"> involved in the armed conflicts;</w:t>
      </w:r>
      <w:r w:rsidR="00C74FC9">
        <w:rPr>
          <w:rStyle w:val="FootnoteReference"/>
        </w:rPr>
        <w:footnoteReference w:id="172"/>
      </w:r>
    </w:p>
    <w:p w:rsidR="00E3020A" w:rsidRDefault="00E3020A" w:rsidP="00E3020A">
      <w:pPr>
        <w:pStyle w:val="Bullet3"/>
        <w:ind w:left="2834"/>
      </w:pPr>
      <w:r>
        <w:t>The Filipino Government provides no</w:t>
      </w:r>
      <w:r w:rsidRPr="00263E60">
        <w:t xml:space="preserve"> </w:t>
      </w:r>
      <w:r>
        <w:t>'</w:t>
      </w:r>
      <w:r w:rsidRPr="00263E60">
        <w:t>clear and consistent</w:t>
      </w:r>
      <w:r>
        <w:t>' advice</w:t>
      </w:r>
      <w:r w:rsidRPr="00263E60">
        <w:t xml:space="preserve"> to IDPs </w:t>
      </w:r>
      <w:r>
        <w:t>as to which</w:t>
      </w:r>
      <w:r w:rsidRPr="00263E60">
        <w:t xml:space="preserve"> areas a</w:t>
      </w:r>
      <w:r>
        <w:t>re safe to move to or return to;</w:t>
      </w:r>
      <w:r w:rsidR="00C74FC9">
        <w:rPr>
          <w:rStyle w:val="FootnoteReference"/>
        </w:rPr>
        <w:footnoteReference w:id="173"/>
      </w:r>
    </w:p>
    <w:p w:rsidR="00E3020A" w:rsidRDefault="00E3020A" w:rsidP="00E3020A">
      <w:pPr>
        <w:pStyle w:val="Bullet3"/>
        <w:ind w:left="2834"/>
      </w:pPr>
      <w:r>
        <w:t>This absence of authoritative information means that IDPs have limited ability to</w:t>
      </w:r>
      <w:r w:rsidRPr="00263E60">
        <w:t xml:space="preserve"> </w:t>
      </w:r>
      <w:r>
        <w:t>access</w:t>
      </w:r>
      <w:r w:rsidRPr="00263E60">
        <w:t xml:space="preserve"> their livelihood</w:t>
      </w:r>
      <w:r>
        <w:t>, which is often tied to their land;</w:t>
      </w:r>
      <w:r w:rsidR="00C74FC9">
        <w:rPr>
          <w:rStyle w:val="FootnoteReference"/>
        </w:rPr>
        <w:footnoteReference w:id="174"/>
      </w:r>
    </w:p>
    <w:p w:rsidR="00E3020A" w:rsidRDefault="00E3020A" w:rsidP="00E3020A">
      <w:pPr>
        <w:pStyle w:val="Bullet3"/>
        <w:ind w:left="2834"/>
      </w:pPr>
      <w:r w:rsidRPr="00263E60">
        <w:t>Government authorities</w:t>
      </w:r>
      <w:r>
        <w:t xml:space="preserve"> are</w:t>
      </w:r>
      <w:r w:rsidRPr="00263E60">
        <w:t xml:space="preserve"> </w:t>
      </w:r>
      <w:r>
        <w:t>'</w:t>
      </w:r>
      <w:r w:rsidRPr="00263E60">
        <w:t>overwhelmed</w:t>
      </w:r>
      <w:r>
        <w:t>'</w:t>
      </w:r>
      <w:r w:rsidRPr="00263E60">
        <w:t xml:space="preserve"> by the large numbers</w:t>
      </w:r>
      <w:r>
        <w:t xml:space="preserve"> of IDPs and there is '</w:t>
      </w:r>
      <w:r w:rsidR="00C74FC9">
        <w:t>[</w:t>
      </w:r>
      <w:r>
        <w:t>n</w:t>
      </w:r>
      <w:r w:rsidR="00C74FC9">
        <w:t>]</w:t>
      </w:r>
      <w:r w:rsidRPr="00263E60">
        <w:t>o systematic registration system of IDP</w:t>
      </w:r>
      <w:r>
        <w:t xml:space="preserve">s.' Consequently, </w:t>
      </w:r>
      <w:r>
        <w:lastRenderedPageBreak/>
        <w:t>there is generally no reliable data collated that might assist in decision making and accommodating the needs of IDPs;</w:t>
      </w:r>
      <w:r w:rsidR="00C74FC9">
        <w:rPr>
          <w:rStyle w:val="FootnoteReference"/>
        </w:rPr>
        <w:footnoteReference w:id="175"/>
      </w:r>
    </w:p>
    <w:p w:rsidR="00813E32" w:rsidRDefault="00E3020A" w:rsidP="00E3020A">
      <w:pPr>
        <w:pStyle w:val="Bullet3"/>
        <w:ind w:left="2834"/>
      </w:pPr>
      <w:r>
        <w:t>The living conditions of newly displaced IDPs are inadequate. They have very limited access to safe drinking water, and generally</w:t>
      </w:r>
      <w:r w:rsidRPr="00244DA3">
        <w:t xml:space="preserve"> live in </w:t>
      </w:r>
      <w:r>
        <w:t>'</w:t>
      </w:r>
      <w:r w:rsidRPr="00244DA3">
        <w:t>makeshift houses</w:t>
      </w:r>
      <w:r w:rsidR="00C74FC9">
        <w:t>'</w:t>
      </w:r>
      <w:r w:rsidRPr="00244DA3">
        <w:t xml:space="preserve"> </w:t>
      </w:r>
      <w:r w:rsidR="00522D50">
        <w:t>of laminate</w:t>
      </w:r>
      <w:r>
        <w:t xml:space="preserve"> and tarpaulins.</w:t>
      </w:r>
      <w:r w:rsidR="00C74FC9">
        <w:rPr>
          <w:rStyle w:val="FootnoteReference"/>
        </w:rPr>
        <w:footnoteReference w:id="176"/>
      </w:r>
      <w:r>
        <w:t xml:space="preserve"> </w:t>
      </w:r>
      <w:r w:rsidR="00C74FC9">
        <w:t>IDPs are likewise very vulnerable to crimes; for example, against women and children; and</w:t>
      </w:r>
    </w:p>
    <w:p w:rsidR="00E3020A" w:rsidRDefault="00E3020A" w:rsidP="00E3020A">
      <w:pPr>
        <w:pStyle w:val="Bullet3"/>
        <w:ind w:left="2834"/>
      </w:pPr>
      <w:r>
        <w:t>Unsurprisingly, disease, exploitation, abuse and poverty ensue.</w:t>
      </w:r>
      <w:r w:rsidR="00813E32">
        <w:t xml:space="preserve"> Conditions may even </w:t>
      </w:r>
      <w:r w:rsidR="00502387">
        <w:t>result in</w:t>
      </w:r>
      <w:r w:rsidR="00813E32">
        <w:t xml:space="preserve"> IDPs </w:t>
      </w:r>
      <w:r w:rsidR="00502387">
        <w:t xml:space="preserve">being recruited by </w:t>
      </w:r>
      <w:r w:rsidR="00522D50">
        <w:t xml:space="preserve">different 'sides' of conflicts </w:t>
      </w:r>
      <w:r w:rsidR="00502387">
        <w:t>capitalising on their disadvantage and situation.</w:t>
      </w:r>
      <w:bookmarkStart w:id="56" w:name="_Ref504463693"/>
      <w:r w:rsidR="00502387">
        <w:rPr>
          <w:rStyle w:val="FootnoteReference"/>
        </w:rPr>
        <w:footnoteReference w:id="177"/>
      </w:r>
      <w:bookmarkEnd w:id="56"/>
      <w:r w:rsidR="00813E32">
        <w:t xml:space="preserve"> </w:t>
      </w:r>
    </w:p>
    <w:p w:rsidR="002E0894" w:rsidRDefault="00F3365E" w:rsidP="00E3020A">
      <w:pPr>
        <w:pStyle w:val="AllensHeading3"/>
        <w:numPr>
          <w:ilvl w:val="0"/>
          <w:numId w:val="0"/>
        </w:numPr>
        <w:ind w:left="2126"/>
      </w:pPr>
      <w:r>
        <w:t xml:space="preserve">Even after the relevant conflict or natural disaster has subsided, IDPs experience difficulty returning home. </w:t>
      </w:r>
      <w:r w:rsidR="00E3020A">
        <w:t>M</w:t>
      </w:r>
      <w:r w:rsidR="006E415F" w:rsidRPr="009D5C10">
        <w:t>any IDPs do not have formal land ownership or rights associated with the land they were forced to flee,</w:t>
      </w:r>
      <w:r w:rsidR="00E3020A">
        <w:t xml:space="preserve"> which can lead to </w:t>
      </w:r>
      <w:r w:rsidR="006E415F" w:rsidRPr="009D5C10">
        <w:t xml:space="preserve">disputes </w:t>
      </w:r>
      <w:r>
        <w:t>between parties as to who rightfully owns the land</w:t>
      </w:r>
      <w:r w:rsidR="006E415F" w:rsidRPr="009D5C10">
        <w:t>.</w:t>
      </w:r>
      <w:r w:rsidR="009D5C10">
        <w:t xml:space="preserve"> </w:t>
      </w:r>
      <w:r w:rsidR="002E0894">
        <w:t>One instance in which this may occur is where IDPs rented properties prior to a conflict or natural disaster — these IDPs are particularly vulnerable as they had no property to begin with.</w:t>
      </w:r>
    </w:p>
    <w:p w:rsidR="004B41C4" w:rsidRDefault="00E3020A" w:rsidP="00E3020A">
      <w:pPr>
        <w:pStyle w:val="AllensHeading3"/>
        <w:numPr>
          <w:ilvl w:val="0"/>
          <w:numId w:val="0"/>
        </w:numPr>
        <w:ind w:left="2126"/>
      </w:pPr>
      <w:r>
        <w:t>Sometimes</w:t>
      </w:r>
      <w:r w:rsidR="009D5C10">
        <w:t>, returning to land may be obstructed by the 'no build zones</w:t>
      </w:r>
      <w:r w:rsidR="00F3365E">
        <w:t>,</w:t>
      </w:r>
      <w:r w:rsidR="009D5C10">
        <w:t>'</w:t>
      </w:r>
      <w:r w:rsidR="00F3365E">
        <w:t xml:space="preserve"> which are zones</w:t>
      </w:r>
      <w:r w:rsidR="009D5C10">
        <w:t xml:space="preserve"> that authorities have deemed to be </w:t>
      </w:r>
      <w:r w:rsidR="001D048B">
        <w:t>excessively</w:t>
      </w:r>
      <w:r w:rsidR="009D5C10">
        <w:t xml:space="preserve"> vulnerable to further attacks or disasters.</w:t>
      </w:r>
      <w:bookmarkStart w:id="57" w:name="_Ref504463710"/>
      <w:r w:rsidR="009D5C10">
        <w:rPr>
          <w:rStyle w:val="FootnoteReference"/>
        </w:rPr>
        <w:footnoteReference w:id="178"/>
      </w:r>
      <w:bookmarkEnd w:id="57"/>
      <w:r w:rsidR="00341772">
        <w:t xml:space="preserve"> In cases where IDPs have been forced to flee following violent conflict, IDPs can return to find their property and crops stolen or damaged.</w:t>
      </w:r>
      <w:r w:rsidR="00341772">
        <w:rPr>
          <w:rStyle w:val="FootnoteReference"/>
        </w:rPr>
        <w:footnoteReference w:id="179"/>
      </w:r>
      <w:r w:rsidR="002E0894">
        <w:t xml:space="preserve"> A</w:t>
      </w:r>
      <w:r w:rsidR="00C34EE8">
        <w:t>s was demonstrated by the 2013 Zamboanga conflict,</w:t>
      </w:r>
      <w:r w:rsidR="0020451F">
        <w:t xml:space="preserve"> </w:t>
      </w:r>
      <w:r w:rsidR="00C34EE8">
        <w:t>IDPs that have weak tenure security over the land from which they fled, by virtue of that fact, may be precluded from government reconstruction assistance</w:t>
      </w:r>
      <w:r w:rsidR="00026EB0">
        <w:t>. As Kok reports, government</w:t>
      </w:r>
      <w:r w:rsidR="00C34EE8">
        <w:t xml:space="preserve"> </w:t>
      </w:r>
      <w:r w:rsidR="001D048B">
        <w:t>can deem</w:t>
      </w:r>
      <w:r w:rsidR="00C34EE8">
        <w:t xml:space="preserve"> numerous IDPs 'informal settlers' and </w:t>
      </w:r>
      <w:r w:rsidR="00026EB0">
        <w:t xml:space="preserve">therefore </w:t>
      </w:r>
      <w:r w:rsidR="001D048B">
        <w:t>exclude them from any</w:t>
      </w:r>
      <w:r w:rsidR="00C34EE8">
        <w:t xml:space="preserve"> </w:t>
      </w:r>
      <w:r w:rsidR="001D048B">
        <w:t>reconstruction plan</w:t>
      </w:r>
      <w:r w:rsidR="00C34EE8">
        <w:t>.</w:t>
      </w:r>
      <w:r w:rsidR="00C34EE8">
        <w:rPr>
          <w:rStyle w:val="FootnoteReference"/>
        </w:rPr>
        <w:footnoteReference w:id="180"/>
      </w:r>
    </w:p>
    <w:p w:rsidR="00E3020A" w:rsidRPr="009059BF" w:rsidRDefault="00026EB0" w:rsidP="00026EB0">
      <w:pPr>
        <w:pStyle w:val="AllensHeading4"/>
        <w:rPr>
          <w:b/>
        </w:rPr>
      </w:pPr>
      <w:r w:rsidRPr="009059BF">
        <w:rPr>
          <w:b/>
        </w:rPr>
        <w:t xml:space="preserve">Recent groups </w:t>
      </w:r>
      <w:r w:rsidR="00352CFF" w:rsidRPr="009059BF">
        <w:rPr>
          <w:b/>
        </w:rPr>
        <w:t xml:space="preserve">of </w:t>
      </w:r>
      <w:r w:rsidRPr="009059BF">
        <w:rPr>
          <w:b/>
        </w:rPr>
        <w:t>IDP</w:t>
      </w:r>
      <w:r w:rsidR="00352CFF" w:rsidRPr="009059BF">
        <w:rPr>
          <w:b/>
        </w:rPr>
        <w:t>s</w:t>
      </w:r>
      <w:r w:rsidRPr="009059BF">
        <w:rPr>
          <w:b/>
        </w:rPr>
        <w:t xml:space="preserve"> in the Philippines</w:t>
      </w:r>
    </w:p>
    <w:p w:rsidR="0072557A" w:rsidRDefault="001C6CAE" w:rsidP="001D048B">
      <w:pPr>
        <w:pStyle w:val="AllensHeading3"/>
        <w:numPr>
          <w:ilvl w:val="0"/>
          <w:numId w:val="0"/>
        </w:numPr>
        <w:ind w:left="2126"/>
      </w:pPr>
      <w:r>
        <w:t xml:space="preserve">Unfortunately, due to the prevalence and frequency of natural disasters in the Philippines, it is </w:t>
      </w:r>
      <w:r w:rsidR="006305F4">
        <w:t>outside the scope of this report</w:t>
      </w:r>
      <w:r>
        <w:t xml:space="preserve"> to collate an exhaustive list of the IDPs</w:t>
      </w:r>
      <w:r w:rsidR="007139B4">
        <w:t xml:space="preserve"> displaced due to natural disasters. However, </w:t>
      </w:r>
      <w:r w:rsidR="0072557A">
        <w:t xml:space="preserve">recent </w:t>
      </w:r>
      <w:r w:rsidR="007139B4">
        <w:t xml:space="preserve">large scale </w:t>
      </w:r>
      <w:proofErr w:type="gramStart"/>
      <w:r w:rsidR="007139B4">
        <w:t xml:space="preserve">displacement </w:t>
      </w:r>
      <w:r w:rsidR="0072557A">
        <w:t>are</w:t>
      </w:r>
      <w:proofErr w:type="gramEnd"/>
      <w:r w:rsidR="0072557A">
        <w:t>:</w:t>
      </w:r>
    </w:p>
    <w:p w:rsidR="001C6CAE" w:rsidRPr="009E4B0C" w:rsidRDefault="0072557A" w:rsidP="0072557A">
      <w:pPr>
        <w:pStyle w:val="Bullet3"/>
        <w:tabs>
          <w:tab w:val="clear" w:pos="2126"/>
          <w:tab w:val="num" w:pos="2834"/>
        </w:tabs>
        <w:ind w:left="2834"/>
      </w:pPr>
      <w:r w:rsidRPr="009E4B0C">
        <w:t>Typhoon Nock-Ten, a category four storm that resulted in a mass evacu</w:t>
      </w:r>
      <w:r w:rsidR="009E4B0C">
        <w:t>ation of as many as 2.6 million</w:t>
      </w:r>
      <w:r w:rsidR="00224B42">
        <w:t xml:space="preserve"> people in the Bicol Region in late December 2016</w:t>
      </w:r>
      <w:r w:rsidR="009E4B0C">
        <w:t>.</w:t>
      </w:r>
      <w:r w:rsidRPr="009E4B0C">
        <w:t xml:space="preserve"> </w:t>
      </w:r>
      <w:r w:rsidR="00224B42">
        <w:t>The Typhoon resulted in 230,000 people initially being displaced, although this number dropped to 368 people by the end of January 2017;</w:t>
      </w:r>
      <w:r w:rsidR="00224B42">
        <w:rPr>
          <w:rStyle w:val="FootnoteReference"/>
        </w:rPr>
        <w:footnoteReference w:id="181"/>
      </w:r>
      <w:r w:rsidR="00224B42">
        <w:t xml:space="preserve"> </w:t>
      </w:r>
      <w:r w:rsidRPr="009E4B0C">
        <w:t>and</w:t>
      </w:r>
    </w:p>
    <w:p w:rsidR="0072557A" w:rsidRPr="009E4B0C" w:rsidRDefault="0072557A" w:rsidP="0072557A">
      <w:pPr>
        <w:pStyle w:val="Bullet3"/>
        <w:tabs>
          <w:tab w:val="clear" w:pos="2126"/>
          <w:tab w:val="num" w:pos="2834"/>
        </w:tabs>
        <w:ind w:left="2834"/>
      </w:pPr>
      <w:r w:rsidRPr="009E4B0C">
        <w:lastRenderedPageBreak/>
        <w:t xml:space="preserve">Typhoon </w:t>
      </w:r>
      <w:proofErr w:type="spellStart"/>
      <w:r w:rsidRPr="009E4B0C">
        <w:t>Haima</w:t>
      </w:r>
      <w:proofErr w:type="spellEnd"/>
      <w:r w:rsidR="00B3239A">
        <w:t xml:space="preserve">, a category four storm </w:t>
      </w:r>
      <w:r w:rsidR="00AF2356">
        <w:t>on 19 October 2016 that</w:t>
      </w:r>
      <w:r w:rsidR="00B3239A">
        <w:t xml:space="preserve"> resulted in the initial displacement of 148,000 people</w:t>
      </w:r>
      <w:r w:rsidR="00AF2356">
        <w:t xml:space="preserve"> (with this number dropping to 37,000 by late October 2016)</w:t>
      </w:r>
      <w:r w:rsidR="00B3239A">
        <w:t xml:space="preserve"> in </w:t>
      </w:r>
      <w:r w:rsidR="00AF2356">
        <w:t>Cagayan.</w:t>
      </w:r>
      <w:r w:rsidR="00B3239A">
        <w:t xml:space="preserve"> The authorities pre-emptively evacuated 90,000 people, and </w:t>
      </w:r>
      <w:r w:rsidR="00AF2356">
        <w:t>it is estimated that the total number of damaged or destroyed houses exceeded 36,000.</w:t>
      </w:r>
      <w:r w:rsidR="00AF2356">
        <w:rPr>
          <w:rStyle w:val="FootnoteReference"/>
        </w:rPr>
        <w:footnoteReference w:id="182"/>
      </w:r>
    </w:p>
    <w:p w:rsidR="00DD73CA" w:rsidRDefault="006305F4" w:rsidP="001D048B">
      <w:pPr>
        <w:pStyle w:val="AllensHeading3"/>
        <w:numPr>
          <w:ilvl w:val="0"/>
          <w:numId w:val="0"/>
        </w:numPr>
        <w:ind w:left="2126"/>
      </w:pPr>
      <w:r>
        <w:t xml:space="preserve">In addition, there are ever increasing numbers of </w:t>
      </w:r>
      <w:r w:rsidR="007139B4">
        <w:t xml:space="preserve">IDPs displaced due to conflict </w:t>
      </w:r>
      <w:r>
        <w:t xml:space="preserve">in the island of Mindanao, the second largest island in the Philippines. Numerous regions in Mindanao have suffered from, and continue to suffer from, violence from </w:t>
      </w:r>
      <w:r w:rsidR="00244DA3">
        <w:t>a range of conflicts</w:t>
      </w:r>
      <w:r w:rsidR="008B05CF">
        <w:t xml:space="preserve">, resulting </w:t>
      </w:r>
      <w:r>
        <w:t>in scores of civilians being forced to leave their homes. These groups include:</w:t>
      </w:r>
    </w:p>
    <w:p w:rsidR="00324B92" w:rsidRDefault="00026EB0" w:rsidP="001D048B">
      <w:pPr>
        <w:pStyle w:val="Bullet3"/>
        <w:tabs>
          <w:tab w:val="clear" w:pos="2126"/>
          <w:tab w:val="num" w:pos="2834"/>
        </w:tabs>
        <w:ind w:left="2834"/>
      </w:pPr>
      <w:r>
        <w:t>Persons</w:t>
      </w:r>
      <w:r w:rsidR="00324B92">
        <w:t xml:space="preserve"> displaced following three weeks of </w:t>
      </w:r>
      <w:r w:rsidR="00CC13BF">
        <w:t>fighting</w:t>
      </w:r>
      <w:r w:rsidR="00324B92">
        <w:t xml:space="preserve"> in S</w:t>
      </w:r>
      <w:r w:rsidR="00CC13BF">
        <w:t xml:space="preserve">eptember 2013 in Zamboanga </w:t>
      </w:r>
      <w:r w:rsidR="002E0894">
        <w:t>C</w:t>
      </w:r>
      <w:r w:rsidR="00CC13BF">
        <w:t xml:space="preserve">ity. This conflict was between the </w:t>
      </w:r>
      <w:r w:rsidR="00CC13BF" w:rsidRPr="00CC13BF">
        <w:t>Armed Forces of the Philippines</w:t>
      </w:r>
      <w:r w:rsidR="00CC13BF">
        <w:t xml:space="preserve"> </w:t>
      </w:r>
      <w:r w:rsidR="00CC13BF" w:rsidRPr="00CC13BF">
        <w:t>and a faction of the Moro National Liberation</w:t>
      </w:r>
      <w:r w:rsidR="0000281B">
        <w:t xml:space="preserve"> Front (</w:t>
      </w:r>
      <w:r w:rsidR="0000281B">
        <w:rPr>
          <w:b/>
          <w:i/>
        </w:rPr>
        <w:t>MNLF</w:t>
      </w:r>
      <w:r w:rsidR="0000281B">
        <w:t xml:space="preserve">) (a group of separatists with Islamic origins) following the MNLF's siege of Zamboanga and declaration that it was </w:t>
      </w:r>
      <w:r>
        <w:t xml:space="preserve">an </w:t>
      </w:r>
      <w:r w:rsidR="0000281B">
        <w:t xml:space="preserve">independent </w:t>
      </w:r>
      <w:r>
        <w:t>region</w:t>
      </w:r>
      <w:r w:rsidR="0000281B">
        <w:t xml:space="preserve"> named '</w:t>
      </w:r>
      <w:proofErr w:type="spellStart"/>
      <w:r w:rsidR="0000281B">
        <w:t>Bangsamoro</w:t>
      </w:r>
      <w:proofErr w:type="spellEnd"/>
      <w:r w:rsidR="0000281B">
        <w:t xml:space="preserve"> </w:t>
      </w:r>
      <w:proofErr w:type="spellStart"/>
      <w:r w:rsidR="0000281B">
        <w:t>Republik</w:t>
      </w:r>
      <w:proofErr w:type="spellEnd"/>
      <w:r w:rsidR="0000281B">
        <w:t>.' This led to</w:t>
      </w:r>
      <w:r w:rsidR="0000281B" w:rsidRPr="0000281B">
        <w:t xml:space="preserve"> the displacement of at least 110,000 people and destruction of an estimated 10,000 homes</w:t>
      </w:r>
      <w:r w:rsidR="0000281B">
        <w:t>.</w:t>
      </w:r>
      <w:r w:rsidR="006E415F">
        <w:t xml:space="preserve"> Most of the displaced belong to Muslim ethnic minorities</w:t>
      </w:r>
      <w:r>
        <w:t xml:space="preserve"> who had</w:t>
      </w:r>
      <w:r w:rsidR="006E415F">
        <w:t xml:space="preserve"> no formal land ownership or tenancy rights in </w:t>
      </w:r>
      <w:r w:rsidR="00B73E72">
        <w:t>the area</w:t>
      </w:r>
      <w:r>
        <w:t>;</w:t>
      </w:r>
      <w:r w:rsidR="0000281B">
        <w:rPr>
          <w:rStyle w:val="FootnoteReference"/>
        </w:rPr>
        <w:footnoteReference w:id="183"/>
      </w:r>
    </w:p>
    <w:p w:rsidR="00026EB0" w:rsidRDefault="00026EB0" w:rsidP="001D048B">
      <w:pPr>
        <w:pStyle w:val="Bullet3"/>
        <w:ind w:left="2834"/>
      </w:pPr>
      <w:r>
        <w:t xml:space="preserve">Persons displaced due to the </w:t>
      </w:r>
      <w:r w:rsidR="00631BC9">
        <w:t xml:space="preserve">46-year old </w:t>
      </w:r>
      <w:r>
        <w:t>conflict between the New People's Army</w:t>
      </w:r>
      <w:r w:rsidR="00327611">
        <w:t xml:space="preserve"> (</w:t>
      </w:r>
      <w:r w:rsidR="00327611">
        <w:rPr>
          <w:b/>
          <w:i/>
        </w:rPr>
        <w:t>NPA</w:t>
      </w:r>
      <w:r w:rsidR="00327611">
        <w:t>)</w:t>
      </w:r>
      <w:r>
        <w:t xml:space="preserve"> (an armed wing of the Philippines Communist Party) and the Filipino Government in eastern Mindanao</w:t>
      </w:r>
      <w:r w:rsidR="00813E32">
        <w:t>. The conflict centres</w:t>
      </w:r>
      <w:r w:rsidR="00327611">
        <w:t xml:space="preserve"> predominantly </w:t>
      </w:r>
      <w:proofErr w:type="gramStart"/>
      <w:r w:rsidR="00327611">
        <w:t>around</w:t>
      </w:r>
      <w:proofErr w:type="gramEnd"/>
      <w:r w:rsidR="00327611">
        <w:t xml:space="preserve"> political differences and is characterised by extortion and violence on the part of the NPA.</w:t>
      </w:r>
      <w:r w:rsidR="00813E32">
        <w:t xml:space="preserve"> According to a 2013 report by the Internal Displacement Monitoring Centre, around 44,000 people were displaced between 2008 and 2012 in some 85 incidents affecting 12 provinces in eastern Mindanao alone (primarily in </w:t>
      </w:r>
      <w:proofErr w:type="spellStart"/>
      <w:r w:rsidR="00813E32">
        <w:t>Caraga</w:t>
      </w:r>
      <w:proofErr w:type="spellEnd"/>
      <w:r w:rsidR="00813E32">
        <w:t xml:space="preserve"> and Davao). Most IDPs are </w:t>
      </w:r>
      <w:proofErr w:type="spellStart"/>
      <w:r w:rsidR="00813E32">
        <w:t>Lumads</w:t>
      </w:r>
      <w:proofErr w:type="spellEnd"/>
      <w:r w:rsidR="00813E32">
        <w:t>, an ethnic group indigenous to Mindanao;</w:t>
      </w:r>
      <w:r w:rsidR="00813E32">
        <w:rPr>
          <w:rStyle w:val="FootnoteReference"/>
        </w:rPr>
        <w:footnoteReference w:id="184"/>
      </w:r>
    </w:p>
    <w:p w:rsidR="00BE325D" w:rsidRDefault="00BE325D" w:rsidP="00BE325D">
      <w:pPr>
        <w:pStyle w:val="Bullet3"/>
        <w:tabs>
          <w:tab w:val="clear" w:pos="2126"/>
          <w:tab w:val="num" w:pos="2834"/>
        </w:tabs>
        <w:ind w:left="2834"/>
      </w:pPr>
      <w:r>
        <w:t xml:space="preserve">Persons displaced by </w:t>
      </w:r>
      <w:r w:rsidR="00631BC9">
        <w:t>a 40 year old</w:t>
      </w:r>
      <w:r>
        <w:t xml:space="preserve"> conflict between the </w:t>
      </w:r>
      <w:r w:rsidR="00831049">
        <w:t>Moro Islamic Liberation Front in central and western Mindanao.</w:t>
      </w:r>
      <w:r w:rsidR="00631BC9">
        <w:t xml:space="preserve"> The conflict centres around</w:t>
      </w:r>
      <w:r w:rsidR="00831049">
        <w:t xml:space="preserve"> </w:t>
      </w:r>
      <w:r w:rsidR="00FB44BD">
        <w:t xml:space="preserve">the Moro Islamic Liberation Front's </w:t>
      </w:r>
      <w:r w:rsidR="00831049">
        <w:t>desire to establish an autonomous region independent of the Filipino government, and it is estimated millions</w:t>
      </w:r>
      <w:r w:rsidR="00631BC9">
        <w:t xml:space="preserve"> </w:t>
      </w:r>
      <w:r w:rsidR="00831049">
        <w:t xml:space="preserve">of civilians </w:t>
      </w:r>
      <w:r w:rsidR="00631BC9">
        <w:t>have been displaced</w:t>
      </w:r>
      <w:r w:rsidR="00831049">
        <w:t xml:space="preserve"> as a result</w:t>
      </w:r>
      <w:r w:rsidR="00EE699E">
        <w:t>;</w:t>
      </w:r>
      <w:r w:rsidR="00631BC9">
        <w:rPr>
          <w:rStyle w:val="FootnoteReference"/>
        </w:rPr>
        <w:footnoteReference w:id="185"/>
      </w:r>
      <w:r w:rsidR="00EE699E">
        <w:t xml:space="preserve"> and</w:t>
      </w:r>
    </w:p>
    <w:p w:rsidR="001603FC" w:rsidRDefault="00EE699E" w:rsidP="001D048B">
      <w:pPr>
        <w:pStyle w:val="Bullet3"/>
        <w:ind w:left="2834"/>
      </w:pPr>
      <w:r w:rsidRPr="00AF2356">
        <w:t>Persons displaced by</w:t>
      </w:r>
      <w:r w:rsidR="001603FC" w:rsidRPr="00AF2356">
        <w:t xml:space="preserve"> the Abu Sayyaf Group</w:t>
      </w:r>
      <w:r w:rsidR="00AF2356">
        <w:t xml:space="preserve">, a terrorist group </w:t>
      </w:r>
      <w:r w:rsidR="00175577">
        <w:t>with links to Islamic State who have a history of kidnapping and extortion, and have more recently engaged in armed conflict with the Government.</w:t>
      </w:r>
      <w:r w:rsidR="00175577">
        <w:rPr>
          <w:rStyle w:val="FootnoteReference"/>
        </w:rPr>
        <w:footnoteReference w:id="186"/>
      </w:r>
      <w:r w:rsidR="00175577">
        <w:t xml:space="preserve"> It is estimated that clashes between the Government and Abu </w:t>
      </w:r>
      <w:proofErr w:type="spellStart"/>
      <w:r w:rsidR="00175577">
        <w:t>Sayyaf</w:t>
      </w:r>
      <w:proofErr w:type="spellEnd"/>
      <w:r w:rsidR="00175577">
        <w:t xml:space="preserve"> and </w:t>
      </w:r>
      <w:proofErr w:type="spellStart"/>
      <w:r w:rsidR="00175577">
        <w:t>Maute</w:t>
      </w:r>
      <w:proofErr w:type="spellEnd"/>
      <w:r w:rsidR="00175577">
        <w:t xml:space="preserve">, another terrorist group with links to Islamic State, has resulted in </w:t>
      </w:r>
      <w:r w:rsidR="00175577">
        <w:lastRenderedPageBreak/>
        <w:t xml:space="preserve">the displacement of </w:t>
      </w:r>
      <w:r w:rsidR="007239C6">
        <w:t xml:space="preserve">between </w:t>
      </w:r>
      <w:r w:rsidR="00175577">
        <w:t>67,000</w:t>
      </w:r>
      <w:r w:rsidR="007239C6">
        <w:t xml:space="preserve"> and 85,000</w:t>
      </w:r>
      <w:r w:rsidR="00175577">
        <w:t xml:space="preserve"> people from </w:t>
      </w:r>
      <w:proofErr w:type="spellStart"/>
      <w:r w:rsidR="00175577">
        <w:t>Marawi</w:t>
      </w:r>
      <w:proofErr w:type="spellEnd"/>
      <w:r w:rsidR="00175577">
        <w:t xml:space="preserve"> </w:t>
      </w:r>
      <w:r w:rsidR="00C220D3">
        <w:t>C</w:t>
      </w:r>
      <w:r w:rsidR="00175577">
        <w:t>ity</w:t>
      </w:r>
      <w:r w:rsidR="00C220D3">
        <w:t>.</w:t>
      </w:r>
      <w:r w:rsidR="00175577">
        <w:rPr>
          <w:rStyle w:val="FootnoteReference"/>
        </w:rPr>
        <w:footnoteReference w:id="187"/>
      </w:r>
      <w:r w:rsidR="00C220D3">
        <w:t xml:space="preserve"> </w:t>
      </w:r>
      <w:proofErr w:type="spellStart"/>
      <w:r w:rsidR="00C220D3">
        <w:t>Marawi</w:t>
      </w:r>
      <w:proofErr w:type="spellEnd"/>
      <w:r w:rsidR="00C220D3">
        <w:t xml:space="preserve"> City has also been affected by a long history of land claims which date back to previous claims o</w:t>
      </w:r>
      <w:r w:rsidR="00BF0A24">
        <w:t>f ancestral domain and the Presidential Proclamations on Military Reservations.</w:t>
      </w:r>
      <w:r w:rsidR="00BF0A24">
        <w:rPr>
          <w:rStyle w:val="FootnoteReference"/>
        </w:rPr>
        <w:footnoteReference w:id="188"/>
      </w:r>
    </w:p>
    <w:p w:rsidR="00671317" w:rsidRDefault="00671317" w:rsidP="006A3EBE">
      <w:pPr>
        <w:pStyle w:val="AllensHeading1"/>
        <w:rPr>
          <w:rFonts w:eastAsiaTheme="minorHAnsi"/>
          <w:lang w:val="en-US" w:eastAsia="en-US"/>
        </w:rPr>
      </w:pPr>
      <w:bookmarkStart w:id="58" w:name="EvictionExpropriationRelocation"/>
      <w:bookmarkStart w:id="59" w:name="_Toc490144179"/>
      <w:bookmarkStart w:id="60" w:name="_Toc486677139"/>
      <w:bookmarkStart w:id="61" w:name="_Toc513116259"/>
      <w:bookmarkEnd w:id="58"/>
      <w:r>
        <w:rPr>
          <w:rFonts w:eastAsiaTheme="minorHAnsi"/>
          <w:lang w:val="en-US" w:eastAsia="en-US"/>
        </w:rPr>
        <w:t>Eviction, Expropriation and Relocation</w:t>
      </w:r>
      <w:bookmarkEnd w:id="59"/>
      <w:bookmarkEnd w:id="60"/>
      <w:bookmarkEnd w:id="61"/>
    </w:p>
    <w:p w:rsidR="00671317" w:rsidRDefault="00671317" w:rsidP="006A3EBE">
      <w:pPr>
        <w:pStyle w:val="AllensHeading2"/>
        <w:rPr>
          <w:rFonts w:eastAsiaTheme="minorHAnsi"/>
          <w:lang w:val="en-US" w:eastAsia="en-US"/>
        </w:rPr>
      </w:pPr>
      <w:bookmarkStart w:id="62" w:name="Eviction"/>
      <w:bookmarkStart w:id="63" w:name="_Toc490144180"/>
      <w:bookmarkStart w:id="64" w:name="_Toc486677140"/>
      <w:bookmarkStart w:id="65" w:name="_Toc513116260"/>
      <w:bookmarkEnd w:id="62"/>
      <w:r>
        <w:rPr>
          <w:rFonts w:eastAsiaTheme="minorHAnsi"/>
          <w:lang w:val="en-US" w:eastAsia="en-US"/>
        </w:rPr>
        <w:t>Evictions</w:t>
      </w:r>
      <w:bookmarkEnd w:id="63"/>
      <w:bookmarkEnd w:id="64"/>
      <w:bookmarkEnd w:id="65"/>
    </w:p>
    <w:p w:rsidR="00671317" w:rsidRDefault="00671317" w:rsidP="006A3EBE">
      <w:pPr>
        <w:pStyle w:val="AllensHeading3"/>
        <w:rPr>
          <w:rFonts w:eastAsiaTheme="minorHAnsi"/>
          <w:b/>
          <w:lang w:val="en-US" w:eastAsia="en-US"/>
        </w:rPr>
      </w:pPr>
      <w:r>
        <w:rPr>
          <w:rFonts w:eastAsiaTheme="minorHAnsi"/>
          <w:b/>
          <w:lang w:val="en-US" w:eastAsia="en-US"/>
        </w:rPr>
        <w:t>Are there laws or regulations prohibiting forced evictions?</w:t>
      </w:r>
    </w:p>
    <w:p w:rsidR="00671317" w:rsidRDefault="00671317" w:rsidP="00671317">
      <w:pPr>
        <w:pStyle w:val="AllensHeading3"/>
        <w:numPr>
          <w:ilvl w:val="0"/>
          <w:numId w:val="0"/>
        </w:numPr>
        <w:tabs>
          <w:tab w:val="left" w:pos="720"/>
        </w:tabs>
        <w:ind w:left="1418"/>
        <w:rPr>
          <w:rFonts w:eastAsiaTheme="minorHAnsi"/>
          <w:lang w:val="en-US" w:eastAsia="en-US"/>
        </w:rPr>
      </w:pPr>
      <w:r>
        <w:rPr>
          <w:rFonts w:eastAsiaTheme="minorHAnsi"/>
          <w:lang w:val="en-US" w:eastAsia="en-US"/>
        </w:rPr>
        <w:t>While there are no laws prohibiting forced evictions per se, there are numerous protections under Filipino Law that provide that the government may only forcibly evict citizens in prescribed circumstances. These protections are in the Constitution, UDHA and IPRA.</w:t>
      </w:r>
    </w:p>
    <w:p w:rsidR="00671317" w:rsidRPr="009059BF" w:rsidRDefault="00671317" w:rsidP="00671317">
      <w:pPr>
        <w:pStyle w:val="Schedule4"/>
        <w:numPr>
          <w:ilvl w:val="5"/>
          <w:numId w:val="25"/>
        </w:numPr>
        <w:rPr>
          <w:rFonts w:eastAsiaTheme="minorHAnsi"/>
          <w:b/>
          <w:lang w:val="en-US" w:eastAsia="en-US"/>
        </w:rPr>
      </w:pPr>
      <w:bookmarkStart w:id="66" w:name="Section41ai"/>
      <w:bookmarkEnd w:id="66"/>
      <w:r w:rsidRPr="009059BF">
        <w:rPr>
          <w:rFonts w:eastAsiaTheme="minorHAnsi"/>
          <w:b/>
          <w:lang w:val="en-US" w:eastAsia="en-US"/>
        </w:rPr>
        <w:t>The Constitution</w:t>
      </w:r>
    </w:p>
    <w:p w:rsidR="00671317" w:rsidRDefault="00671317" w:rsidP="00671317">
      <w:pPr>
        <w:ind w:left="2126"/>
        <w:rPr>
          <w:rFonts w:eastAsiaTheme="minorHAnsi"/>
          <w:lang w:val="en-US" w:eastAsia="en-US"/>
        </w:rPr>
      </w:pPr>
      <w:r>
        <w:rPr>
          <w:rFonts w:eastAsiaTheme="minorHAnsi"/>
          <w:lang w:val="en-US" w:eastAsia="en-US"/>
        </w:rPr>
        <w:t>The two main protections against forced eviction in the Constitution are:</w:t>
      </w:r>
    </w:p>
    <w:p w:rsidR="00671317" w:rsidRDefault="00671317" w:rsidP="00671317">
      <w:pPr>
        <w:ind w:left="2126"/>
        <w:rPr>
          <w:rFonts w:eastAsiaTheme="minorHAnsi"/>
          <w:lang w:val="en-US" w:eastAsia="en-US"/>
        </w:rPr>
      </w:pPr>
      <w:r>
        <w:rPr>
          <w:rFonts w:eastAsiaTheme="minorHAnsi"/>
          <w:u w:val="single"/>
          <w:lang w:val="en-US" w:eastAsia="en-US"/>
        </w:rPr>
        <w:t>Protections against arbitrary removal of the urban poor from their dwellings</w:t>
      </w:r>
      <w:r>
        <w:rPr>
          <w:rFonts w:eastAsiaTheme="minorHAnsi"/>
          <w:lang w:val="en-US" w:eastAsia="en-US"/>
        </w:rPr>
        <w:t>: Section 10 of Article XIII of the Constitution provides that 'urban or rural poor dwellers shall not be evicted nor their dwelling demolished, except in accordance with law and in a just and humane manner;' and</w:t>
      </w:r>
    </w:p>
    <w:p w:rsidR="00671317" w:rsidRDefault="00671317" w:rsidP="00671317">
      <w:pPr>
        <w:ind w:left="2126"/>
        <w:rPr>
          <w:rFonts w:eastAsiaTheme="minorHAnsi"/>
          <w:lang w:val="en-US" w:eastAsia="en-US"/>
        </w:rPr>
      </w:pPr>
      <w:r>
        <w:rPr>
          <w:rFonts w:eastAsiaTheme="minorHAnsi"/>
          <w:u w:val="single"/>
          <w:lang w:val="en-US" w:eastAsia="en-US"/>
        </w:rPr>
        <w:t>Ensuring that the state's right to compulsorily acquire privately owned land (or its 'eminent domain') is appropriately constrained</w:t>
      </w:r>
      <w:r>
        <w:rPr>
          <w:rFonts w:eastAsiaTheme="minorHAnsi"/>
          <w:lang w:val="en-US" w:eastAsia="en-US"/>
        </w:rPr>
        <w:t xml:space="preserve">: Section 9 of Article </w:t>
      </w:r>
      <w:r w:rsidR="00EF128E">
        <w:rPr>
          <w:rFonts w:eastAsiaTheme="minorHAnsi"/>
          <w:lang w:val="en-US" w:eastAsia="en-US"/>
        </w:rPr>
        <w:t>III</w:t>
      </w:r>
      <w:r>
        <w:rPr>
          <w:rFonts w:eastAsiaTheme="minorHAnsi"/>
          <w:lang w:val="en-US" w:eastAsia="en-US"/>
        </w:rPr>
        <w:t xml:space="preserve"> of the Constitution states that 'private property shall not be taken for public use without just compensation.' </w:t>
      </w:r>
    </w:p>
    <w:p w:rsidR="00671317" w:rsidRDefault="00671317" w:rsidP="00671317">
      <w:pPr>
        <w:ind w:left="2126"/>
        <w:rPr>
          <w:rFonts w:eastAsiaTheme="minorHAnsi"/>
          <w:lang w:val="en-US" w:eastAsia="en-US"/>
        </w:rPr>
      </w:pPr>
      <w:r>
        <w:rPr>
          <w:rFonts w:eastAsiaTheme="minorHAnsi"/>
          <w:lang w:val="en-US" w:eastAsia="en-US"/>
        </w:rPr>
        <w:t xml:space="preserve">The laws giving effect to the protections for the urban poor in section 10 of Article XIII of the Constitution are contained in UDHA and its subordinate regulations, described in detail in subsection (ii) below. The circumstances in which the state may forcibly evict a landowner from his or her property are set out in further detail </w:t>
      </w:r>
      <w:r w:rsidRPr="00CA58F4">
        <w:rPr>
          <w:rFonts w:eastAsiaTheme="minorHAnsi"/>
          <w:lang w:val="en-US" w:eastAsia="en-US"/>
        </w:rPr>
        <w:t xml:space="preserve">in </w:t>
      </w:r>
      <w:hyperlink w:anchor="Expropriation" w:history="1">
        <w:r w:rsidRPr="00CA58F4">
          <w:rPr>
            <w:rStyle w:val="Hyperlink"/>
            <w:rFonts w:eastAsiaTheme="minorHAnsi"/>
            <w:color w:val="auto"/>
            <w:u w:val="none"/>
            <w:lang w:val="en-US" w:eastAsia="en-US"/>
          </w:rPr>
          <w:t>section 4.2 below</w:t>
        </w:r>
      </w:hyperlink>
      <w:r w:rsidRPr="00CA58F4">
        <w:rPr>
          <w:rFonts w:eastAsiaTheme="minorHAnsi"/>
          <w:lang w:val="en-US" w:eastAsia="en-US"/>
        </w:rPr>
        <w:t>.</w:t>
      </w:r>
    </w:p>
    <w:p w:rsidR="00671317" w:rsidRPr="009059BF" w:rsidRDefault="00671317" w:rsidP="00671317">
      <w:pPr>
        <w:pStyle w:val="Schedule4"/>
        <w:numPr>
          <w:ilvl w:val="5"/>
          <w:numId w:val="25"/>
        </w:numPr>
        <w:rPr>
          <w:rFonts w:eastAsiaTheme="minorHAnsi"/>
          <w:b/>
          <w:lang w:val="en-US" w:eastAsia="en-US"/>
        </w:rPr>
      </w:pPr>
      <w:bookmarkStart w:id="67" w:name="Section4iaii"/>
      <w:bookmarkEnd w:id="67"/>
      <w:r w:rsidRPr="009059BF">
        <w:rPr>
          <w:rFonts w:eastAsiaTheme="minorHAnsi"/>
          <w:b/>
          <w:lang w:val="en-US" w:eastAsia="en-US"/>
        </w:rPr>
        <w:t>UDHA</w:t>
      </w:r>
    </w:p>
    <w:p w:rsidR="00671317" w:rsidRDefault="00671317" w:rsidP="00671317">
      <w:pPr>
        <w:pStyle w:val="NormalIndent"/>
        <w:ind w:left="2126"/>
        <w:rPr>
          <w:rFonts w:eastAsiaTheme="minorHAnsi"/>
          <w:lang w:val="en-US" w:eastAsia="en-US"/>
        </w:rPr>
      </w:pPr>
      <w:r>
        <w:rPr>
          <w:rFonts w:eastAsiaTheme="minorHAnsi"/>
          <w:lang w:val="en-US" w:eastAsia="en-US"/>
        </w:rPr>
        <w:t>UDHA gives effect to section 10 of Article XIII of the Constitution, effectively setting out the procedures that must be followed where seeking to evict the urban poor in circumstances where their settlements need to be used for urban development.</w:t>
      </w:r>
    </w:p>
    <w:p w:rsidR="00671317" w:rsidRDefault="00671317" w:rsidP="00671317">
      <w:pPr>
        <w:pStyle w:val="NormalIndent"/>
        <w:ind w:left="2126"/>
        <w:rPr>
          <w:rFonts w:eastAsiaTheme="minorHAnsi"/>
          <w:lang w:val="en-US" w:eastAsia="en-US"/>
        </w:rPr>
      </w:pPr>
      <w:r>
        <w:rPr>
          <w:rFonts w:eastAsiaTheme="minorHAnsi"/>
          <w:lang w:val="en-US" w:eastAsia="en-US"/>
        </w:rPr>
        <w:t xml:space="preserve">It is important to note that UDHA has broader coverage than one might initially assume an act that purports to regulate 'urban development' would. Section 4 states that UDHA applies to 'all lands in urban and </w:t>
      </w:r>
      <w:proofErr w:type="spellStart"/>
      <w:r>
        <w:rPr>
          <w:rFonts w:eastAsiaTheme="minorHAnsi"/>
          <w:lang w:val="en-US" w:eastAsia="en-US"/>
        </w:rPr>
        <w:t>urbanisable</w:t>
      </w:r>
      <w:proofErr w:type="spellEnd"/>
      <w:r>
        <w:rPr>
          <w:rFonts w:eastAsiaTheme="minorHAnsi"/>
          <w:lang w:val="en-US" w:eastAsia="en-US"/>
        </w:rPr>
        <w:t xml:space="preserve"> areas…and in other areas that may be identified by the </w:t>
      </w:r>
      <w:r w:rsidR="0006021E">
        <w:rPr>
          <w:rFonts w:eastAsiaTheme="minorHAnsi"/>
          <w:lang w:val="en-US" w:eastAsia="en-US"/>
        </w:rPr>
        <w:t xml:space="preserve">LGUs </w:t>
      </w:r>
      <w:r>
        <w:rPr>
          <w:rFonts w:eastAsiaTheme="minorHAnsi"/>
          <w:lang w:val="en-US" w:eastAsia="en-US"/>
        </w:rPr>
        <w:t>as suitable for socialized housing.' '</w:t>
      </w:r>
      <w:proofErr w:type="spellStart"/>
      <w:r>
        <w:rPr>
          <w:rFonts w:eastAsiaTheme="minorHAnsi"/>
          <w:lang w:val="en-US" w:eastAsia="en-US"/>
        </w:rPr>
        <w:t>Urbanisable</w:t>
      </w:r>
      <w:proofErr w:type="spellEnd"/>
      <w:r>
        <w:rPr>
          <w:rFonts w:eastAsiaTheme="minorHAnsi"/>
          <w:lang w:val="en-US" w:eastAsia="en-US"/>
        </w:rPr>
        <w:t xml:space="preserve"> areas' is defined in section 3 to mean 'sites and lands which, considering present characteristics and prevailing conditions, displaying marked and great potential of becoming urban areas within the period of five (5) years.' This broad definition, in conjunction with the local government's discretion to </w:t>
      </w:r>
      <w:r>
        <w:rPr>
          <w:rFonts w:eastAsiaTheme="minorHAnsi"/>
          <w:lang w:val="en-US" w:eastAsia="en-US"/>
        </w:rPr>
        <w:lastRenderedPageBreak/>
        <w:t>broaden the coverage of UDHA, means that it has potential to, and does, apply to many parts of the Philippines, and not simply its major cities.</w:t>
      </w:r>
    </w:p>
    <w:p w:rsidR="00671317" w:rsidRDefault="00671317" w:rsidP="00671317">
      <w:pPr>
        <w:pStyle w:val="NormalIndent"/>
        <w:ind w:left="2126"/>
        <w:rPr>
          <w:rFonts w:eastAsiaTheme="minorHAnsi"/>
          <w:lang w:val="en-US" w:eastAsia="en-US"/>
        </w:rPr>
      </w:pPr>
      <w:r>
        <w:rPr>
          <w:rFonts w:eastAsiaTheme="minorHAnsi"/>
          <w:lang w:val="en-US" w:eastAsia="en-US"/>
        </w:rPr>
        <w:t>However, notwithstanding this broad reach, section 5 of UDHA expressly provides that it does not extend to:</w:t>
      </w:r>
    </w:p>
    <w:p w:rsidR="00671317" w:rsidRDefault="00671317" w:rsidP="00671317">
      <w:pPr>
        <w:pStyle w:val="Bullet1"/>
        <w:numPr>
          <w:ilvl w:val="0"/>
          <w:numId w:val="32"/>
        </w:numPr>
        <w:tabs>
          <w:tab w:val="clear" w:pos="709"/>
          <w:tab w:val="num" w:pos="3544"/>
        </w:tabs>
        <w:ind w:left="2835"/>
        <w:rPr>
          <w:rFonts w:eastAsiaTheme="minorHAnsi"/>
          <w:i/>
          <w:lang w:val="en-US" w:eastAsia="en-US"/>
        </w:rPr>
      </w:pPr>
      <w:r>
        <w:rPr>
          <w:rFonts w:eastAsiaTheme="minorHAnsi"/>
          <w:lang w:val="en-US" w:eastAsia="en-US"/>
        </w:rPr>
        <w:t>any land included under</w:t>
      </w:r>
      <w:r>
        <w:rPr>
          <w:rFonts w:eastAsiaTheme="minorHAnsi"/>
          <w:i/>
          <w:lang w:val="en-US" w:eastAsia="en-US"/>
        </w:rPr>
        <w:t xml:space="preserve"> </w:t>
      </w:r>
      <w:r>
        <w:rPr>
          <w:rFonts w:eastAsiaTheme="minorHAnsi"/>
          <w:lang w:val="en-US" w:eastAsia="en-US"/>
        </w:rPr>
        <w:t>CARP;</w:t>
      </w:r>
    </w:p>
    <w:p w:rsidR="00671317" w:rsidRDefault="00671317" w:rsidP="00671317">
      <w:pPr>
        <w:pStyle w:val="Bullet1"/>
        <w:numPr>
          <w:ilvl w:val="0"/>
          <w:numId w:val="32"/>
        </w:numPr>
        <w:tabs>
          <w:tab w:val="clear" w:pos="709"/>
          <w:tab w:val="num" w:pos="2127"/>
        </w:tabs>
        <w:ind w:left="2835"/>
        <w:rPr>
          <w:rFonts w:eastAsiaTheme="minorHAnsi"/>
          <w:lang w:val="en-US" w:eastAsia="en-US"/>
        </w:rPr>
      </w:pPr>
      <w:r>
        <w:rPr>
          <w:rFonts w:eastAsiaTheme="minorHAnsi"/>
          <w:lang w:val="en-US" w:eastAsia="en-US"/>
        </w:rPr>
        <w:t xml:space="preserve">lands used for national defense and security of </w:t>
      </w:r>
      <w:r w:rsidR="00C10CAA">
        <w:rPr>
          <w:rFonts w:eastAsiaTheme="minorHAnsi"/>
          <w:lang w:val="en-US" w:eastAsia="en-US"/>
        </w:rPr>
        <w:t>the s</w:t>
      </w:r>
      <w:r>
        <w:rPr>
          <w:rFonts w:eastAsiaTheme="minorHAnsi"/>
          <w:lang w:val="en-US" w:eastAsia="en-US"/>
        </w:rPr>
        <w:t>tate;</w:t>
      </w:r>
    </w:p>
    <w:p w:rsidR="00671317" w:rsidRDefault="00671317" w:rsidP="00671317">
      <w:pPr>
        <w:pStyle w:val="Bullet1"/>
        <w:numPr>
          <w:ilvl w:val="0"/>
          <w:numId w:val="32"/>
        </w:numPr>
        <w:tabs>
          <w:tab w:val="clear" w:pos="709"/>
          <w:tab w:val="num" w:pos="2127"/>
        </w:tabs>
        <w:ind w:left="2835"/>
        <w:rPr>
          <w:rFonts w:eastAsiaTheme="minorHAnsi"/>
          <w:lang w:val="en-US" w:eastAsia="en-US"/>
        </w:rPr>
      </w:pPr>
      <w:r>
        <w:rPr>
          <w:rFonts w:eastAsiaTheme="minorHAnsi"/>
          <w:lang w:val="en-US" w:eastAsia="en-US"/>
        </w:rPr>
        <w:t xml:space="preserve">lands used, reserved or set aside for government offices, facilities or other installations (including </w:t>
      </w:r>
      <w:r w:rsidR="0006021E">
        <w:rPr>
          <w:rFonts w:eastAsiaTheme="minorHAnsi"/>
          <w:lang w:val="en-US" w:eastAsia="en-US"/>
        </w:rPr>
        <w:t xml:space="preserve">those owned by </w:t>
      </w:r>
      <w:r>
        <w:rPr>
          <w:rFonts w:eastAsiaTheme="minorHAnsi"/>
          <w:lang w:val="en-US" w:eastAsia="en-US"/>
        </w:rPr>
        <w:t xml:space="preserve">government </w:t>
      </w:r>
      <w:r w:rsidR="008908B5">
        <w:rPr>
          <w:rFonts w:eastAsiaTheme="minorHAnsi"/>
          <w:lang w:val="en-US" w:eastAsia="en-US"/>
        </w:rPr>
        <w:t xml:space="preserve">and </w:t>
      </w:r>
      <w:r w:rsidR="0006021E">
        <w:rPr>
          <w:rFonts w:eastAsiaTheme="minorHAnsi"/>
          <w:lang w:val="en-US" w:eastAsia="en-US"/>
        </w:rPr>
        <w:t>LGUs</w:t>
      </w:r>
      <w:r w:rsidR="008908B5">
        <w:rPr>
          <w:rFonts w:eastAsiaTheme="minorHAnsi"/>
          <w:lang w:val="en-US" w:eastAsia="en-US"/>
        </w:rPr>
        <w:t>);</w:t>
      </w:r>
    </w:p>
    <w:p w:rsidR="00671317" w:rsidRDefault="00671317" w:rsidP="00671317">
      <w:pPr>
        <w:pStyle w:val="Bullet1"/>
        <w:numPr>
          <w:ilvl w:val="0"/>
          <w:numId w:val="32"/>
        </w:numPr>
        <w:tabs>
          <w:tab w:val="clear" w:pos="709"/>
          <w:tab w:val="num" w:pos="2127"/>
        </w:tabs>
        <w:ind w:left="2835"/>
        <w:rPr>
          <w:rFonts w:eastAsiaTheme="minorHAnsi"/>
          <w:lang w:val="en-US" w:eastAsia="en-US"/>
        </w:rPr>
      </w:pPr>
      <w:r>
        <w:rPr>
          <w:rFonts w:eastAsiaTheme="minorHAnsi"/>
          <w:lang w:val="en-US" w:eastAsia="en-US"/>
        </w:rPr>
        <w:t>parks, reserves and areas necessary to maintain ecological balance or environmental protection (as determined by the relevant government agency); and</w:t>
      </w:r>
    </w:p>
    <w:p w:rsidR="00671317" w:rsidRDefault="00671317" w:rsidP="00671317">
      <w:pPr>
        <w:pStyle w:val="Bullet1"/>
        <w:numPr>
          <w:ilvl w:val="0"/>
          <w:numId w:val="32"/>
        </w:numPr>
        <w:tabs>
          <w:tab w:val="clear" w:pos="709"/>
          <w:tab w:val="num" w:pos="2127"/>
        </w:tabs>
        <w:ind w:left="2835"/>
        <w:rPr>
          <w:rFonts w:eastAsiaTheme="minorHAnsi"/>
          <w:lang w:val="en-US" w:eastAsia="en-US"/>
        </w:rPr>
      </w:pPr>
      <w:r>
        <w:rPr>
          <w:rFonts w:eastAsiaTheme="minorHAnsi"/>
          <w:lang w:val="en-US" w:eastAsia="en-US"/>
        </w:rPr>
        <w:t xml:space="preserve">lands actually and primarily used for religious, charitable, or educational purposes, cultural and historical sites, hospitals and health </w:t>
      </w:r>
      <w:proofErr w:type="spellStart"/>
      <w:r>
        <w:rPr>
          <w:rFonts w:eastAsiaTheme="minorHAnsi"/>
          <w:lang w:val="en-US" w:eastAsia="en-US"/>
        </w:rPr>
        <w:t>centres</w:t>
      </w:r>
      <w:proofErr w:type="spellEnd"/>
      <w:r>
        <w:rPr>
          <w:rFonts w:eastAsiaTheme="minorHAnsi"/>
          <w:lang w:val="en-US" w:eastAsia="en-US"/>
        </w:rPr>
        <w:t xml:space="preserve"> and cemeteries or memorial parks.</w:t>
      </w:r>
    </w:p>
    <w:p w:rsidR="00671317" w:rsidRDefault="00671317" w:rsidP="00671317">
      <w:pPr>
        <w:pStyle w:val="NormalIndent"/>
        <w:ind w:left="2126"/>
        <w:rPr>
          <w:rFonts w:eastAsiaTheme="minorHAnsi"/>
          <w:lang w:val="en-US" w:eastAsia="en-US"/>
        </w:rPr>
      </w:pPr>
      <w:r>
        <w:rPr>
          <w:rFonts w:eastAsiaTheme="minorHAnsi"/>
          <w:lang w:val="en-US" w:eastAsia="en-US"/>
        </w:rPr>
        <w:t>Though UDHA does prescribe legal procedures to facilitate lawful forced eviction where it is required for urban development, its overarching policy at section 28 generally discourages the practice; '[e]</w:t>
      </w:r>
      <w:proofErr w:type="spellStart"/>
      <w:r>
        <w:rPr>
          <w:rFonts w:eastAsiaTheme="minorHAnsi"/>
          <w:lang w:val="en-US" w:eastAsia="en-US"/>
        </w:rPr>
        <w:t>viction</w:t>
      </w:r>
      <w:proofErr w:type="spellEnd"/>
      <w:r>
        <w:rPr>
          <w:rFonts w:eastAsiaTheme="minorHAnsi"/>
          <w:lang w:val="en-US" w:eastAsia="en-US"/>
        </w:rPr>
        <w:t xml:space="preserve"> or demolition as a practice shall be discouraged.'</w:t>
      </w:r>
    </w:p>
    <w:p w:rsidR="00671317" w:rsidRDefault="00671317" w:rsidP="00671317">
      <w:pPr>
        <w:pStyle w:val="NormalIndent"/>
        <w:ind w:left="2126"/>
        <w:rPr>
          <w:rFonts w:eastAsiaTheme="minorHAnsi"/>
          <w:lang w:val="en-US" w:eastAsia="en-US"/>
        </w:rPr>
      </w:pPr>
      <w:r>
        <w:rPr>
          <w:rFonts w:eastAsiaTheme="minorHAnsi"/>
          <w:lang w:val="en-US" w:eastAsia="en-US"/>
        </w:rPr>
        <w:t>Notwithstanding this, forcible eviction is permissible under UDHA in the following circumstances:</w:t>
      </w:r>
    </w:p>
    <w:p w:rsidR="00671317" w:rsidRDefault="00671317" w:rsidP="00671317">
      <w:pPr>
        <w:pStyle w:val="Bullet3"/>
        <w:numPr>
          <w:ilvl w:val="0"/>
          <w:numId w:val="34"/>
        </w:numPr>
        <w:ind w:left="2834"/>
        <w:rPr>
          <w:rFonts w:eastAsiaTheme="minorHAnsi"/>
          <w:lang w:val="en-US" w:eastAsia="en-US"/>
        </w:rPr>
      </w:pPr>
      <w:r>
        <w:rPr>
          <w:rFonts w:eastAsiaTheme="minorHAnsi"/>
          <w:lang w:val="en-US" w:eastAsia="en-US"/>
        </w:rPr>
        <w:t>Where eviction is required for the prescribed purposes set out in UDHA (see (A) below); and</w:t>
      </w:r>
    </w:p>
    <w:p w:rsidR="00671317" w:rsidRDefault="00671317" w:rsidP="00671317">
      <w:pPr>
        <w:pStyle w:val="Bullet3"/>
        <w:numPr>
          <w:ilvl w:val="0"/>
          <w:numId w:val="34"/>
        </w:numPr>
        <w:ind w:left="2834"/>
        <w:rPr>
          <w:rFonts w:eastAsiaTheme="minorHAnsi"/>
          <w:lang w:val="en-US" w:eastAsia="en-US"/>
        </w:rPr>
      </w:pPr>
      <w:r>
        <w:rPr>
          <w:rFonts w:eastAsiaTheme="minorHAnsi"/>
          <w:lang w:val="en-US" w:eastAsia="en-US"/>
        </w:rPr>
        <w:t>Where evicting professional squatters (see (B) below).</w:t>
      </w:r>
    </w:p>
    <w:p w:rsidR="00671317" w:rsidRPr="009059BF" w:rsidRDefault="00671317" w:rsidP="006A3EBE">
      <w:pPr>
        <w:pStyle w:val="AllensHeading5"/>
        <w:rPr>
          <w:rFonts w:eastAsiaTheme="minorHAnsi"/>
          <w:b/>
          <w:lang w:val="en-US" w:eastAsia="en-US"/>
        </w:rPr>
      </w:pPr>
      <w:bookmarkStart w:id="68" w:name="Section41aiiA"/>
      <w:bookmarkEnd w:id="68"/>
      <w:r w:rsidRPr="009059BF">
        <w:rPr>
          <w:rFonts w:eastAsiaTheme="minorHAnsi"/>
          <w:b/>
          <w:lang w:val="en-US" w:eastAsia="en-US"/>
        </w:rPr>
        <w:t>Public Purpose</w:t>
      </w:r>
    </w:p>
    <w:p w:rsidR="00671317" w:rsidRDefault="00671317" w:rsidP="00671317">
      <w:pPr>
        <w:pStyle w:val="AllensHeading4"/>
        <w:numPr>
          <w:ilvl w:val="0"/>
          <w:numId w:val="0"/>
        </w:numPr>
        <w:tabs>
          <w:tab w:val="left" w:pos="720"/>
        </w:tabs>
        <w:ind w:left="2835"/>
        <w:rPr>
          <w:rFonts w:eastAsiaTheme="minorHAnsi"/>
          <w:lang w:val="en-US" w:eastAsia="en-US"/>
        </w:rPr>
      </w:pPr>
      <w:r>
        <w:rPr>
          <w:rFonts w:eastAsiaTheme="minorHAnsi"/>
          <w:lang w:val="en-US" w:eastAsia="en-US"/>
        </w:rPr>
        <w:t>Section 28 of UDHA, entitled 'Eviction and Demolition' sets out the process for lawful eviction and demolition under UDHA. Eviction or demolition may be allowed in three prescribed situations:</w:t>
      </w:r>
    </w:p>
    <w:p w:rsidR="00671317" w:rsidRDefault="00671317" w:rsidP="00671317">
      <w:pPr>
        <w:pStyle w:val="Bullet3"/>
        <w:numPr>
          <w:ilvl w:val="0"/>
          <w:numId w:val="34"/>
        </w:numPr>
        <w:tabs>
          <w:tab w:val="clear" w:pos="2126"/>
          <w:tab w:val="num" w:pos="4252"/>
        </w:tabs>
        <w:ind w:left="3543"/>
        <w:rPr>
          <w:rFonts w:eastAsiaTheme="minorHAnsi"/>
        </w:rPr>
      </w:pPr>
      <w:r>
        <w:rPr>
          <w:rFonts w:eastAsiaTheme="minorHAnsi"/>
        </w:rPr>
        <w:t xml:space="preserve">when persons or entities occupy danger areas such as railroad tracks, garbage dumps, riverbanks, shorelines, waterways, and other public places such as sidewalks, roads, parks, and playgrounds; </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when government infrastructure projects with available funding are about to be implemented; and</w:t>
      </w:r>
    </w:p>
    <w:p w:rsidR="00671317" w:rsidRDefault="00671317" w:rsidP="00671317">
      <w:pPr>
        <w:pStyle w:val="Bullet3"/>
        <w:numPr>
          <w:ilvl w:val="0"/>
          <w:numId w:val="34"/>
        </w:numPr>
        <w:tabs>
          <w:tab w:val="clear" w:pos="2126"/>
          <w:tab w:val="num" w:pos="2834"/>
        </w:tabs>
        <w:ind w:left="3543"/>
        <w:rPr>
          <w:rFonts w:eastAsiaTheme="minorHAnsi"/>
        </w:rPr>
      </w:pPr>
      <w:proofErr w:type="gramStart"/>
      <w:r>
        <w:rPr>
          <w:rFonts w:eastAsiaTheme="minorHAnsi"/>
        </w:rPr>
        <w:t>when</w:t>
      </w:r>
      <w:proofErr w:type="gramEnd"/>
      <w:r>
        <w:rPr>
          <w:rFonts w:eastAsiaTheme="minorHAnsi"/>
        </w:rPr>
        <w:t xml:space="preserve"> there is a court order for eviction and demolition.</w:t>
      </w:r>
    </w:p>
    <w:p w:rsidR="00671317" w:rsidRDefault="00671317" w:rsidP="00671317">
      <w:pPr>
        <w:pStyle w:val="Bullet3"/>
        <w:numPr>
          <w:ilvl w:val="0"/>
          <w:numId w:val="0"/>
        </w:numPr>
        <w:tabs>
          <w:tab w:val="left" w:pos="720"/>
        </w:tabs>
        <w:ind w:left="2835"/>
        <w:rPr>
          <w:rFonts w:eastAsiaTheme="minorHAnsi"/>
        </w:rPr>
      </w:pPr>
      <w:r>
        <w:rPr>
          <w:rFonts w:eastAsiaTheme="minorHAnsi"/>
        </w:rPr>
        <w:t>Even where eviction and demolition is permissible under section 28, proper procedures must be followed. Where 'underprivileged and homeless'</w:t>
      </w:r>
      <w:r>
        <w:rPr>
          <w:rStyle w:val="FootnoteReference"/>
          <w:rFonts w:eastAsiaTheme="minorHAnsi"/>
        </w:rPr>
        <w:footnoteReference w:id="189"/>
      </w:r>
      <w:r>
        <w:rPr>
          <w:rFonts w:eastAsiaTheme="minorHAnsi"/>
        </w:rPr>
        <w:t xml:space="preserve"> citizens are being evicted, UDHA prescribes the following 'mandatory' steps:</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At least 30 days' notice prior to date of eviction;</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lastRenderedPageBreak/>
        <w:t>'Adequate' consultations on the matter of settlement with affected communities (including the communities where the evictees are to be relocated);</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Presence of local government officials or their representatives during eviction or demolition;</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Proper identification of persons taking part in the demolition;</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Execution of the eviction or demolition during regular office hours and good weather;</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No heavy equipment for demolition except for permanent or concrete structures;</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Police to wear proper uniforms; and</w:t>
      </w:r>
    </w:p>
    <w:p w:rsidR="00671317" w:rsidRDefault="00671317" w:rsidP="00671317">
      <w:pPr>
        <w:pStyle w:val="Bullet3"/>
        <w:numPr>
          <w:ilvl w:val="0"/>
          <w:numId w:val="34"/>
        </w:numPr>
        <w:tabs>
          <w:tab w:val="clear" w:pos="2126"/>
          <w:tab w:val="num" w:pos="2834"/>
        </w:tabs>
        <w:ind w:left="3543"/>
        <w:rPr>
          <w:rFonts w:eastAsiaTheme="minorHAnsi"/>
        </w:rPr>
      </w:pPr>
      <w:r>
        <w:rPr>
          <w:rFonts w:eastAsiaTheme="minorHAnsi"/>
        </w:rPr>
        <w:t xml:space="preserve">Adequate relocation (whether permanent or temporary). However, where the eviction or relocation is pursuant to a court order, </w:t>
      </w:r>
      <w:r w:rsidR="0006021E">
        <w:rPr>
          <w:rFonts w:eastAsiaTheme="minorHAnsi"/>
        </w:rPr>
        <w:t xml:space="preserve">relevant LGU </w:t>
      </w:r>
      <w:r>
        <w:rPr>
          <w:rFonts w:eastAsiaTheme="minorHAnsi"/>
        </w:rPr>
        <w:t xml:space="preserve">and National Housing Authority are to undertake relocation within 45 days of the service of the court's final judgment. Where relocation is not possible within that period, financial assistance (amounting to 60 days' minimum wage) shall be provided to the affected families by the relevant </w:t>
      </w:r>
      <w:r w:rsidR="0006021E">
        <w:rPr>
          <w:rFonts w:eastAsiaTheme="minorHAnsi"/>
        </w:rPr>
        <w:t>LGU</w:t>
      </w:r>
      <w:r>
        <w:rPr>
          <w:rFonts w:eastAsiaTheme="minorHAnsi"/>
        </w:rPr>
        <w:t>.</w:t>
      </w:r>
    </w:p>
    <w:p w:rsidR="00671317" w:rsidRDefault="00671317" w:rsidP="00671317">
      <w:pPr>
        <w:pStyle w:val="NormalIndent"/>
        <w:ind w:left="2835"/>
        <w:rPr>
          <w:rFonts w:eastAsiaTheme="minorHAnsi"/>
          <w:lang w:val="en-US" w:eastAsia="en-US"/>
        </w:rPr>
      </w:pPr>
      <w:proofErr w:type="gramStart"/>
      <w:r>
        <w:rPr>
          <w:rFonts w:eastAsiaTheme="minorHAnsi"/>
          <w:lang w:val="en-US" w:eastAsia="en-US"/>
        </w:rPr>
        <w:t>Where underprivileged and homeless citizens are relocated, pursuant to section 21 of UDHA, the 'resettlement area' must have 'basic services and facilities', including potable water, electricity, sewerage facilities and access to roads and transport.</w:t>
      </w:r>
      <w:proofErr w:type="gramEnd"/>
    </w:p>
    <w:p w:rsidR="00671317" w:rsidRDefault="00671317" w:rsidP="00671317">
      <w:pPr>
        <w:pStyle w:val="NormalIndent"/>
        <w:ind w:left="2835"/>
        <w:rPr>
          <w:rFonts w:eastAsiaTheme="minorHAnsi"/>
          <w:lang w:val="en-US" w:eastAsia="en-US"/>
        </w:rPr>
      </w:pPr>
      <w:r>
        <w:rPr>
          <w:rFonts w:eastAsiaTheme="minorHAnsi"/>
          <w:lang w:val="en-US" w:eastAsia="en-US"/>
        </w:rPr>
        <w:t xml:space="preserve">These procedures are set out in further detail in the </w:t>
      </w:r>
      <w:r w:rsidR="008908B5">
        <w:rPr>
          <w:rFonts w:eastAsiaTheme="minorHAnsi"/>
          <w:lang w:val="en-US" w:eastAsia="en-US"/>
        </w:rPr>
        <w:t xml:space="preserve">subordinate </w:t>
      </w:r>
      <w:r>
        <w:rPr>
          <w:rFonts w:eastAsiaTheme="minorHAnsi"/>
          <w:lang w:val="en-US" w:eastAsia="en-US"/>
        </w:rPr>
        <w:t>rules</w:t>
      </w:r>
      <w:r w:rsidR="008908B5">
        <w:rPr>
          <w:rFonts w:eastAsiaTheme="minorHAnsi"/>
          <w:lang w:val="en-US" w:eastAsia="en-US"/>
        </w:rPr>
        <w:t xml:space="preserve"> to UDHA</w:t>
      </w:r>
      <w:r>
        <w:rPr>
          <w:rFonts w:eastAsiaTheme="minorHAnsi"/>
          <w:lang w:val="en-US" w:eastAsia="en-US"/>
        </w:rPr>
        <w:t>.</w:t>
      </w:r>
      <w:r>
        <w:rPr>
          <w:rStyle w:val="FootnoteReference"/>
          <w:rFonts w:eastAsiaTheme="minorHAnsi"/>
          <w:lang w:val="en-US" w:eastAsia="en-US"/>
        </w:rPr>
        <w:footnoteReference w:id="190"/>
      </w:r>
      <w:r>
        <w:rPr>
          <w:rFonts w:eastAsiaTheme="minorHAnsi"/>
          <w:lang w:val="en-US" w:eastAsia="en-US"/>
        </w:rPr>
        <w:t xml:space="preserve"> Notably, these regulations provide that 'adequate social services in health, nutrition, education, responsible parenthood, environmental sanitation, etc. shall be provided in the resettlement sites' either by government or NGOs. </w:t>
      </w:r>
    </w:p>
    <w:p w:rsidR="00671317" w:rsidRPr="009059BF" w:rsidRDefault="00671317" w:rsidP="006A3EBE">
      <w:pPr>
        <w:pStyle w:val="AllensHeading5"/>
        <w:rPr>
          <w:rFonts w:eastAsiaTheme="minorHAnsi"/>
          <w:b/>
          <w:lang w:val="en-US" w:eastAsia="en-US"/>
        </w:rPr>
      </w:pPr>
      <w:r w:rsidRPr="009059BF">
        <w:rPr>
          <w:rFonts w:eastAsiaTheme="minorHAnsi"/>
          <w:b/>
          <w:lang w:val="en-US" w:eastAsia="en-US"/>
        </w:rPr>
        <w:t>Evicting Professional Squatters</w:t>
      </w:r>
    </w:p>
    <w:p w:rsidR="00671317" w:rsidRDefault="00671317" w:rsidP="00671317">
      <w:pPr>
        <w:pStyle w:val="NormalIndent"/>
        <w:ind w:left="2835"/>
        <w:rPr>
          <w:rFonts w:eastAsiaTheme="minorHAnsi"/>
          <w:lang w:val="en-US" w:eastAsia="en-US"/>
        </w:rPr>
      </w:pPr>
      <w:r>
        <w:rPr>
          <w:rFonts w:eastAsiaTheme="minorHAnsi"/>
          <w:lang w:val="en-US" w:eastAsia="en-US"/>
        </w:rPr>
        <w:t xml:space="preserve">Under section 27 of UDHA, professional squatters and squatting syndicates may be 'summarily evicted' and have their dwellings demolished. Furthermore, professional squatters shall receive a penalty of </w:t>
      </w:r>
      <w:proofErr w:type="gramStart"/>
      <w:r>
        <w:rPr>
          <w:rFonts w:eastAsiaTheme="minorHAnsi"/>
          <w:lang w:val="en-US" w:eastAsia="en-US"/>
        </w:rPr>
        <w:t>either six</w:t>
      </w:r>
      <w:proofErr w:type="gramEnd"/>
      <w:r>
        <w:rPr>
          <w:rFonts w:eastAsiaTheme="minorHAnsi"/>
          <w:lang w:val="en-US" w:eastAsia="en-US"/>
        </w:rPr>
        <w:t xml:space="preserve"> years imprisonment, a fine of between sixty thousand and one hundred thousand pesos or both.</w:t>
      </w:r>
    </w:p>
    <w:p w:rsidR="00671317" w:rsidRDefault="00671317" w:rsidP="00671317">
      <w:pPr>
        <w:pStyle w:val="NormalIndent"/>
        <w:ind w:left="2835"/>
        <w:rPr>
          <w:rFonts w:eastAsiaTheme="minorHAnsi"/>
          <w:lang w:val="en-US" w:eastAsia="en-US"/>
        </w:rPr>
      </w:pPr>
      <w:r>
        <w:rPr>
          <w:rFonts w:eastAsiaTheme="minorHAnsi"/>
          <w:lang w:val="en-US" w:eastAsia="en-US"/>
        </w:rPr>
        <w:t xml:space="preserve">'Professional squatters' are defined in section 3(m) </w:t>
      </w:r>
      <w:r w:rsidR="00AC3749">
        <w:rPr>
          <w:rFonts w:eastAsiaTheme="minorHAnsi"/>
          <w:lang w:val="en-US" w:eastAsia="en-US"/>
        </w:rPr>
        <w:t xml:space="preserve">of UDHA </w:t>
      </w:r>
      <w:r>
        <w:rPr>
          <w:rFonts w:eastAsiaTheme="minorHAnsi"/>
          <w:lang w:val="en-US" w:eastAsia="en-US"/>
        </w:rPr>
        <w:t>to refer to 'individuals or groups who occupy lands without the express consent of the landowner and who have sufficient income for legitimate housing.' Squatting syndicates are the groups 'engaged in the business of squatter housing for profit or gain.' However, the concept of 'professional squatters' does not include (and therefore the power to summarily evict does not extend to) individuals or groups who rent land from professional squatters or squatting syndicates.</w:t>
      </w:r>
    </w:p>
    <w:p w:rsidR="00671317" w:rsidRPr="009059BF" w:rsidRDefault="00671317" w:rsidP="00671317">
      <w:pPr>
        <w:pStyle w:val="Schedule4"/>
        <w:numPr>
          <w:ilvl w:val="5"/>
          <w:numId w:val="25"/>
        </w:numPr>
        <w:rPr>
          <w:rFonts w:eastAsiaTheme="minorHAnsi"/>
          <w:b/>
          <w:lang w:val="en-US" w:eastAsia="en-US"/>
        </w:rPr>
      </w:pPr>
      <w:bookmarkStart w:id="69" w:name="Section42aiiiIRPA"/>
      <w:bookmarkEnd w:id="69"/>
      <w:r w:rsidRPr="009059BF">
        <w:rPr>
          <w:rFonts w:eastAsiaTheme="minorHAnsi"/>
          <w:b/>
          <w:lang w:val="en-US" w:eastAsia="en-US"/>
        </w:rPr>
        <w:lastRenderedPageBreak/>
        <w:t>IPRA and indigenous forced eviction</w:t>
      </w:r>
    </w:p>
    <w:p w:rsidR="00671317" w:rsidRDefault="00671317" w:rsidP="00671317">
      <w:pPr>
        <w:pStyle w:val="AllensHeading4"/>
        <w:numPr>
          <w:ilvl w:val="0"/>
          <w:numId w:val="0"/>
        </w:numPr>
        <w:tabs>
          <w:tab w:val="left" w:pos="720"/>
        </w:tabs>
        <w:ind w:left="2126"/>
        <w:rPr>
          <w:rFonts w:eastAsiaTheme="minorHAnsi"/>
          <w:lang w:val="en-US" w:eastAsia="en-US"/>
        </w:rPr>
      </w:pPr>
      <w:r>
        <w:rPr>
          <w:rFonts w:eastAsiaTheme="minorHAnsi"/>
          <w:lang w:val="en-US" w:eastAsia="en-US"/>
        </w:rPr>
        <w:t>While forcible eviction by government under IPRA is not prohibited (as it is subject to the government's right to expropriate land)</w:t>
      </w:r>
      <w:proofErr w:type="gramStart"/>
      <w:r>
        <w:rPr>
          <w:rFonts w:eastAsiaTheme="minorHAnsi"/>
          <w:lang w:val="en-US" w:eastAsia="en-US"/>
        </w:rPr>
        <w:t>,</w:t>
      </w:r>
      <w:proofErr w:type="gramEnd"/>
      <w:r>
        <w:rPr>
          <w:rFonts w:eastAsiaTheme="minorHAnsi"/>
          <w:lang w:val="en-US" w:eastAsia="en-US"/>
        </w:rPr>
        <w:t xml:space="preserve"> the legislation strongly discourages forcible eviction. Notably, section 7(c) of IPRA states that ICCs and IPs have 'the right to stay in the territory and not be removed therefrom' and that relocation will only be 'as an exceptional measure' with a guaranteed right of return where the grounds of relocation cease to exist. Finally, section 7(c) </w:t>
      </w:r>
      <w:r w:rsidR="008908B5">
        <w:rPr>
          <w:rFonts w:eastAsiaTheme="minorHAnsi"/>
          <w:lang w:val="en-US" w:eastAsia="en-US"/>
        </w:rPr>
        <w:t xml:space="preserve">of IPRA </w:t>
      </w:r>
      <w:r>
        <w:rPr>
          <w:rFonts w:eastAsiaTheme="minorHAnsi"/>
          <w:lang w:val="en-US" w:eastAsia="en-US"/>
        </w:rPr>
        <w:t>provides that in the event of such relocation, 'persons thus relocated shall likewise be fully compensated for any resulting loss or injury.'</w:t>
      </w:r>
    </w:p>
    <w:p w:rsidR="00671317" w:rsidRDefault="00671317" w:rsidP="006A3EBE">
      <w:pPr>
        <w:pStyle w:val="AllensHeading3"/>
        <w:rPr>
          <w:rFonts w:eastAsiaTheme="minorHAnsi"/>
          <w:b/>
          <w:lang w:val="en-US" w:eastAsia="en-US"/>
        </w:rPr>
      </w:pPr>
      <w:r>
        <w:rPr>
          <w:rFonts w:eastAsiaTheme="minorHAnsi"/>
          <w:b/>
          <w:lang w:val="en-US" w:eastAsia="en-US"/>
        </w:rPr>
        <w:t>In practice, are those laws adhered to?</w:t>
      </w:r>
    </w:p>
    <w:p w:rsidR="00671317" w:rsidRDefault="00671317" w:rsidP="00671317">
      <w:pPr>
        <w:pStyle w:val="NormalIndent"/>
        <w:ind w:left="1418"/>
        <w:rPr>
          <w:rFonts w:eastAsiaTheme="minorHAnsi"/>
          <w:lang w:val="en-US" w:eastAsia="en-US"/>
        </w:rPr>
      </w:pPr>
      <w:r>
        <w:rPr>
          <w:rFonts w:eastAsiaTheme="minorHAnsi"/>
          <w:lang w:val="en-US" w:eastAsia="en-US"/>
        </w:rPr>
        <w:t xml:space="preserve">Numerous local and international </w:t>
      </w:r>
      <w:proofErr w:type="spellStart"/>
      <w:r>
        <w:rPr>
          <w:rFonts w:eastAsiaTheme="minorHAnsi"/>
          <w:lang w:val="en-US" w:eastAsia="en-US"/>
        </w:rPr>
        <w:t>organisations</w:t>
      </w:r>
      <w:proofErr w:type="spellEnd"/>
      <w:r>
        <w:rPr>
          <w:rFonts w:eastAsiaTheme="minorHAnsi"/>
          <w:lang w:val="en-US" w:eastAsia="en-US"/>
        </w:rPr>
        <w:t xml:space="preserve"> have </w:t>
      </w:r>
      <w:proofErr w:type="spellStart"/>
      <w:r>
        <w:rPr>
          <w:rFonts w:eastAsiaTheme="minorHAnsi"/>
          <w:lang w:val="en-US" w:eastAsia="en-US"/>
        </w:rPr>
        <w:t>criticised</w:t>
      </w:r>
      <w:proofErr w:type="spellEnd"/>
      <w:r>
        <w:rPr>
          <w:rFonts w:eastAsiaTheme="minorHAnsi"/>
          <w:lang w:val="en-US" w:eastAsia="en-US"/>
        </w:rPr>
        <w:t xml:space="preserve"> the Filipino government for its failure to adhere to the protections against arbitrary removal of the urban poor from their dwellings under UDHA and the Constitution.</w:t>
      </w:r>
      <w:r>
        <w:rPr>
          <w:rStyle w:val="FootnoteReference"/>
          <w:rFonts w:eastAsiaTheme="minorHAnsi"/>
          <w:lang w:val="en-US" w:eastAsia="en-US"/>
        </w:rPr>
        <w:footnoteReference w:id="191"/>
      </w:r>
    </w:p>
    <w:p w:rsidR="00671317" w:rsidRDefault="00671317" w:rsidP="00671317">
      <w:pPr>
        <w:pStyle w:val="NormalIndent"/>
        <w:ind w:left="1418"/>
        <w:rPr>
          <w:rFonts w:eastAsiaTheme="minorHAnsi"/>
          <w:lang w:val="en-US" w:eastAsia="en-US"/>
        </w:rPr>
      </w:pPr>
      <w:r>
        <w:rPr>
          <w:rFonts w:eastAsiaTheme="minorHAnsi"/>
          <w:lang w:val="en-US" w:eastAsia="en-US"/>
        </w:rPr>
        <w:t>For example, the Centre on Housing Rights and Evictions (</w:t>
      </w:r>
      <w:r>
        <w:rPr>
          <w:rFonts w:eastAsiaTheme="minorHAnsi"/>
          <w:b/>
          <w:i/>
          <w:lang w:val="en-US" w:eastAsia="en-US"/>
        </w:rPr>
        <w:t>COHRE</w:t>
      </w:r>
      <w:r>
        <w:rPr>
          <w:rFonts w:eastAsiaTheme="minorHAnsi"/>
          <w:lang w:val="en-US" w:eastAsia="en-US"/>
        </w:rPr>
        <w:t xml:space="preserve">) strongly condemned the demolition of homes of one thousand families in April 2011 in the </w:t>
      </w:r>
      <w:proofErr w:type="spellStart"/>
      <w:r>
        <w:rPr>
          <w:rFonts w:eastAsiaTheme="minorHAnsi"/>
          <w:lang w:val="en-US" w:eastAsia="en-US"/>
        </w:rPr>
        <w:t>Laperal</w:t>
      </w:r>
      <w:proofErr w:type="spellEnd"/>
      <w:r>
        <w:rPr>
          <w:rFonts w:eastAsiaTheme="minorHAnsi"/>
          <w:lang w:val="en-US" w:eastAsia="en-US"/>
        </w:rPr>
        <w:t xml:space="preserve"> Compound of Makati City, Manila. Relevantly, COHRE reported that under the forced eviction:</w:t>
      </w:r>
    </w:p>
    <w:p w:rsidR="00671317" w:rsidRDefault="00671317" w:rsidP="00671317">
      <w:pPr>
        <w:pStyle w:val="NormalIndent"/>
        <w:ind w:left="2160"/>
        <w:rPr>
          <w:rFonts w:eastAsiaTheme="minorHAnsi"/>
          <w:lang w:val="en-US" w:eastAsia="en-US"/>
        </w:rPr>
      </w:pPr>
      <w:r>
        <w:rPr>
          <w:rFonts w:eastAsiaTheme="minorHAnsi"/>
          <w:sz w:val="18"/>
          <w:lang w:val="en-US" w:eastAsia="en-US"/>
        </w:rPr>
        <w:t>No court order was issued sanctioning the demolitions and evictions, and no consultation, negotiation, or advance warning was provided to affected residents…Adequate housing has not been provided to those who were forced to leave the area…</w:t>
      </w:r>
      <w:r>
        <w:rPr>
          <w:rStyle w:val="FootnoteReference"/>
          <w:rFonts w:eastAsiaTheme="minorHAnsi"/>
          <w:sz w:val="18"/>
          <w:lang w:val="en-US" w:eastAsia="en-US"/>
        </w:rPr>
        <w:footnoteReference w:id="192"/>
      </w:r>
    </w:p>
    <w:p w:rsidR="00671317" w:rsidRDefault="00671317" w:rsidP="00671317">
      <w:pPr>
        <w:pStyle w:val="NormalIndent"/>
        <w:ind w:left="1418"/>
        <w:rPr>
          <w:rFonts w:eastAsiaTheme="minorHAnsi"/>
          <w:lang w:val="en-US" w:eastAsia="en-US"/>
        </w:rPr>
      </w:pPr>
      <w:r>
        <w:rPr>
          <w:rFonts w:eastAsiaTheme="minorHAnsi"/>
          <w:lang w:val="en-US" w:eastAsia="en-US"/>
        </w:rPr>
        <w:t xml:space="preserve">COHRE concluded on this basis that 'the actions carried out on April 28th in Makati therefore appear to constitute breaches of national law, including the 1987 Constitution and </w:t>
      </w:r>
      <w:r w:rsidR="005925C1">
        <w:rPr>
          <w:rFonts w:eastAsiaTheme="minorHAnsi"/>
          <w:lang w:val="en-US" w:eastAsia="en-US"/>
        </w:rPr>
        <w:t>[UDHA]</w:t>
      </w:r>
      <w:r>
        <w:rPr>
          <w:rFonts w:eastAsiaTheme="minorHAnsi"/>
          <w:lang w:val="en-US" w:eastAsia="en-US"/>
        </w:rPr>
        <w:t>.' This is only one of many incidents.</w:t>
      </w:r>
      <w:r>
        <w:rPr>
          <w:rStyle w:val="FootnoteReference"/>
          <w:rFonts w:eastAsiaTheme="minorHAnsi"/>
          <w:lang w:val="en-US" w:eastAsia="en-US"/>
        </w:rPr>
        <w:footnoteReference w:id="193"/>
      </w:r>
    </w:p>
    <w:p w:rsidR="00671317" w:rsidRDefault="00671317" w:rsidP="00671317">
      <w:pPr>
        <w:pStyle w:val="NormalIndent"/>
        <w:ind w:left="1418"/>
        <w:rPr>
          <w:rFonts w:eastAsiaTheme="minorHAnsi"/>
          <w:lang w:val="en-US" w:eastAsia="en-US"/>
        </w:rPr>
      </w:pPr>
      <w:r>
        <w:rPr>
          <w:rFonts w:eastAsiaTheme="minorHAnsi"/>
          <w:lang w:val="en-US" w:eastAsia="en-US"/>
        </w:rPr>
        <w:t xml:space="preserve">Furthermore, groups have resorted to international human rights law in circumstances where they consider that the protections in UDHA have not been adhered to or judicially enforced. </w:t>
      </w:r>
      <w:proofErr w:type="gramStart"/>
      <w:r>
        <w:rPr>
          <w:rFonts w:eastAsiaTheme="minorHAnsi"/>
          <w:lang w:val="en-US" w:eastAsia="en-US"/>
        </w:rPr>
        <w:t xml:space="preserve">In the case of </w:t>
      </w:r>
      <w:proofErr w:type="spellStart"/>
      <w:r>
        <w:rPr>
          <w:rFonts w:eastAsiaTheme="minorHAnsi"/>
          <w:i/>
          <w:lang w:val="en-US" w:eastAsia="en-US"/>
        </w:rPr>
        <w:t>Garsain</w:t>
      </w:r>
      <w:proofErr w:type="spellEnd"/>
      <w:r>
        <w:rPr>
          <w:rFonts w:eastAsiaTheme="minorHAnsi"/>
          <w:i/>
          <w:lang w:val="en-US" w:eastAsia="en-US"/>
        </w:rPr>
        <w:t xml:space="preserve"> et al. v.</w:t>
      </w:r>
      <w:proofErr w:type="gramEnd"/>
      <w:r>
        <w:rPr>
          <w:rFonts w:eastAsiaTheme="minorHAnsi"/>
          <w:i/>
          <w:lang w:val="en-US" w:eastAsia="en-US"/>
        </w:rPr>
        <w:t xml:space="preserve"> The Philippines</w:t>
      </w:r>
      <w:r>
        <w:rPr>
          <w:rFonts w:eastAsiaTheme="minorHAnsi"/>
          <w:lang w:val="en-US" w:eastAsia="en-US"/>
        </w:rPr>
        <w:t>,</w:t>
      </w:r>
      <w:r>
        <w:rPr>
          <w:rStyle w:val="FootnoteReference"/>
          <w:rFonts w:eastAsiaTheme="minorHAnsi"/>
          <w:lang w:val="en-US" w:eastAsia="en-US"/>
        </w:rPr>
        <w:footnoteReference w:id="194"/>
      </w:r>
      <w:r>
        <w:rPr>
          <w:rFonts w:eastAsiaTheme="minorHAnsi"/>
          <w:lang w:val="en-US" w:eastAsia="en-US"/>
        </w:rPr>
        <w:t xml:space="preserve"> residents of Corazon de Jesus (in Manila)</w:t>
      </w:r>
      <w:r>
        <w:rPr>
          <w:rStyle w:val="FootnoteReference"/>
          <w:rFonts w:eastAsiaTheme="minorHAnsi"/>
          <w:lang w:val="en-US" w:eastAsia="en-US"/>
        </w:rPr>
        <w:footnoteReference w:id="195"/>
      </w:r>
      <w:r>
        <w:rPr>
          <w:rFonts w:eastAsiaTheme="minorHAnsi"/>
          <w:lang w:val="en-US" w:eastAsia="en-US"/>
        </w:rPr>
        <w:t xml:space="preserve"> made an individual complaint to the Human Rights Committee under the Optional Protocol to the International Covenant on Civil and Political Rights. The claim related to the eviction of 121 residents on 11 January 2012. According to the claimants, the following conduct occurred in breach of the Constitution and UDHA requirements:</w:t>
      </w:r>
    </w:p>
    <w:p w:rsidR="00671317" w:rsidRDefault="00671317" w:rsidP="00671317">
      <w:pPr>
        <w:pStyle w:val="Bullet3"/>
        <w:numPr>
          <w:ilvl w:val="0"/>
          <w:numId w:val="34"/>
        </w:numPr>
        <w:rPr>
          <w:rFonts w:eastAsiaTheme="minorHAnsi"/>
          <w:lang w:val="en-US" w:eastAsia="en-US"/>
        </w:rPr>
      </w:pPr>
      <w:r>
        <w:rPr>
          <w:rFonts w:eastAsiaTheme="minorHAnsi"/>
          <w:lang w:val="en-US" w:eastAsia="en-US"/>
        </w:rPr>
        <w:t>The notice of eviction was not personally given and received by affected families (resulting in many being unaware of the eviction) in contravention of the notice requirements in section 28 UDHA and its subordinate regulations;</w:t>
      </w:r>
    </w:p>
    <w:p w:rsidR="00671317" w:rsidRDefault="00671317" w:rsidP="00671317">
      <w:pPr>
        <w:pStyle w:val="Bullet3"/>
        <w:numPr>
          <w:ilvl w:val="0"/>
          <w:numId w:val="34"/>
        </w:numPr>
        <w:rPr>
          <w:rFonts w:eastAsiaTheme="minorHAnsi"/>
          <w:lang w:val="en-US" w:eastAsia="en-US"/>
        </w:rPr>
      </w:pPr>
      <w:r>
        <w:rPr>
          <w:rFonts w:eastAsiaTheme="minorHAnsi"/>
          <w:lang w:val="en-US" w:eastAsia="en-US"/>
        </w:rPr>
        <w:lastRenderedPageBreak/>
        <w:t>There were no reported instances of consultation regarding resettlement with community representatives prior to resettlement, contrary to section 28 of UDHA;</w:t>
      </w:r>
    </w:p>
    <w:p w:rsidR="00671317" w:rsidRDefault="00671317" w:rsidP="00671317">
      <w:pPr>
        <w:pStyle w:val="Bullet3"/>
        <w:numPr>
          <w:ilvl w:val="0"/>
          <w:numId w:val="34"/>
        </w:numPr>
        <w:rPr>
          <w:rFonts w:eastAsiaTheme="minorHAnsi"/>
          <w:lang w:val="en-US" w:eastAsia="en-US"/>
        </w:rPr>
      </w:pPr>
      <w:r>
        <w:rPr>
          <w:rFonts w:eastAsiaTheme="minorHAnsi"/>
          <w:lang w:val="en-US" w:eastAsia="en-US"/>
        </w:rPr>
        <w:t>Police attacked residents with fire trucks, bulldozers</w:t>
      </w:r>
      <w:r w:rsidR="00EF128E">
        <w:rPr>
          <w:rFonts w:eastAsiaTheme="minorHAnsi"/>
          <w:lang w:val="en-US" w:eastAsia="en-US"/>
        </w:rPr>
        <w:t>,</w:t>
      </w:r>
      <w:r>
        <w:rPr>
          <w:rFonts w:eastAsiaTheme="minorHAnsi"/>
          <w:lang w:val="en-US" w:eastAsia="en-US"/>
        </w:rPr>
        <w:t xml:space="preserve"> tear gas and assault rifles to effect the eviction, contrary to the constitutional requirement to evict 'in a just and humane manner'; and</w:t>
      </w:r>
    </w:p>
    <w:p w:rsidR="00671317" w:rsidRDefault="00671317" w:rsidP="00671317">
      <w:pPr>
        <w:pStyle w:val="Bullet3"/>
        <w:numPr>
          <w:ilvl w:val="0"/>
          <w:numId w:val="34"/>
        </w:numPr>
        <w:rPr>
          <w:rFonts w:eastAsiaTheme="minorHAnsi"/>
          <w:lang w:val="en-US" w:eastAsia="en-US"/>
        </w:rPr>
      </w:pPr>
      <w:r>
        <w:rPr>
          <w:rFonts w:eastAsiaTheme="minorHAnsi"/>
          <w:lang w:val="en-US" w:eastAsia="en-US"/>
        </w:rPr>
        <w:t>Residents were relocated to areas declared as 'danger zones' (including a recent typhoon affected area) with inadequate housing, lack of employment or social services contrary to sections 28 and 21 of UDHA.</w:t>
      </w:r>
      <w:r>
        <w:rPr>
          <w:rStyle w:val="FootnoteReference"/>
          <w:rFonts w:eastAsiaTheme="minorHAnsi"/>
          <w:lang w:val="en-US" w:eastAsia="en-US"/>
        </w:rPr>
        <w:footnoteReference w:id="196"/>
      </w:r>
    </w:p>
    <w:p w:rsidR="001224AE" w:rsidRDefault="00671317" w:rsidP="001224AE">
      <w:pPr>
        <w:pStyle w:val="NormalIndent"/>
        <w:ind w:left="1418"/>
        <w:rPr>
          <w:rFonts w:eastAsiaTheme="minorHAnsi"/>
          <w:lang w:val="en-US" w:eastAsia="en-US"/>
        </w:rPr>
      </w:pPr>
      <w:r>
        <w:rPr>
          <w:rFonts w:eastAsiaTheme="minorHAnsi"/>
          <w:lang w:val="en-US" w:eastAsia="en-US"/>
        </w:rPr>
        <w:t>Please refer to the discuss</w:t>
      </w:r>
      <w:r w:rsidRPr="000F7677">
        <w:rPr>
          <w:rFonts w:eastAsiaTheme="minorHAnsi"/>
          <w:lang w:val="en-US" w:eastAsia="en-US"/>
        </w:rPr>
        <w:t>ion in</w:t>
      </w:r>
      <w:hyperlink w:anchor="Section42B" w:history="1">
        <w:r w:rsidRPr="000F7677">
          <w:rPr>
            <w:rStyle w:val="Hyperlink"/>
            <w:rFonts w:eastAsiaTheme="minorHAnsi"/>
            <w:color w:val="auto"/>
            <w:u w:val="none"/>
            <w:lang w:val="en-US" w:eastAsia="en-US"/>
          </w:rPr>
          <w:t xml:space="preserve"> section 4.2(b)</w:t>
        </w:r>
      </w:hyperlink>
      <w:r w:rsidRPr="000F7677">
        <w:rPr>
          <w:rFonts w:eastAsiaTheme="minorHAnsi"/>
          <w:lang w:val="en-US" w:eastAsia="en-US"/>
        </w:rPr>
        <w:t xml:space="preserve"> b</w:t>
      </w:r>
      <w:r>
        <w:rPr>
          <w:rFonts w:eastAsiaTheme="minorHAnsi"/>
          <w:lang w:val="en-US" w:eastAsia="en-US"/>
        </w:rPr>
        <w:t>elow with respect to the degree to which the constitutional laws constraining eminent domain are observed.</w:t>
      </w:r>
      <w:r w:rsidR="007175B8">
        <w:rPr>
          <w:rStyle w:val="FootnoteReference"/>
          <w:rFonts w:eastAsiaTheme="minorHAnsi"/>
          <w:lang w:val="en-US" w:eastAsia="en-US"/>
        </w:rPr>
        <w:footnoteReference w:id="197"/>
      </w:r>
      <w:r>
        <w:rPr>
          <w:rFonts w:eastAsiaTheme="minorHAnsi"/>
          <w:lang w:val="en-US" w:eastAsia="en-US"/>
        </w:rPr>
        <w:t xml:space="preserve"> </w:t>
      </w:r>
    </w:p>
    <w:p w:rsidR="00671317" w:rsidRDefault="00671317" w:rsidP="006A3EBE">
      <w:pPr>
        <w:pStyle w:val="AllensHeading2"/>
        <w:rPr>
          <w:rFonts w:eastAsiaTheme="minorHAnsi"/>
          <w:lang w:val="en-US" w:eastAsia="en-US"/>
        </w:rPr>
      </w:pPr>
      <w:bookmarkStart w:id="70" w:name="Expropriation"/>
      <w:bookmarkStart w:id="71" w:name="_Toc490144181"/>
      <w:bookmarkStart w:id="72" w:name="_Toc486677141"/>
      <w:bookmarkStart w:id="73" w:name="_Toc513116261"/>
      <w:bookmarkEnd w:id="70"/>
      <w:r>
        <w:rPr>
          <w:rFonts w:eastAsiaTheme="minorHAnsi"/>
          <w:lang w:val="en-US" w:eastAsia="en-US"/>
        </w:rPr>
        <w:t>Expropriation of land</w:t>
      </w:r>
      <w:bookmarkEnd w:id="71"/>
      <w:bookmarkEnd w:id="72"/>
      <w:bookmarkEnd w:id="73"/>
    </w:p>
    <w:p w:rsidR="00671317" w:rsidRPr="009059BF" w:rsidRDefault="00671317" w:rsidP="009059BF">
      <w:pPr>
        <w:pStyle w:val="Schedule3"/>
        <w:numPr>
          <w:ilvl w:val="4"/>
          <w:numId w:val="41"/>
        </w:numPr>
        <w:rPr>
          <w:rFonts w:eastAsiaTheme="minorHAnsi"/>
          <w:b/>
          <w:lang w:val="en-US" w:eastAsia="en-US"/>
        </w:rPr>
      </w:pPr>
      <w:r w:rsidRPr="009059BF">
        <w:rPr>
          <w:rFonts w:eastAsiaTheme="minorHAnsi"/>
          <w:b/>
          <w:lang w:val="en-US" w:eastAsia="en-US"/>
        </w:rPr>
        <w:t>Are there laws or regulations permitting the government to expropriate land?</w:t>
      </w:r>
    </w:p>
    <w:p w:rsidR="00671317" w:rsidRDefault="00671317" w:rsidP="00671317">
      <w:pPr>
        <w:pStyle w:val="NormalIndent"/>
        <w:ind w:left="1277"/>
        <w:rPr>
          <w:rFonts w:eastAsiaTheme="minorHAnsi"/>
          <w:lang w:val="en-US" w:eastAsia="en-US"/>
        </w:rPr>
      </w:pPr>
      <w:r>
        <w:rPr>
          <w:rFonts w:eastAsiaTheme="minorHAnsi"/>
          <w:lang w:val="en-US" w:eastAsia="en-US"/>
        </w:rPr>
        <w:t xml:space="preserve">The Filipino government has the right of 'eminent domain', which means that it has the power to expropriate any property within its territorial sovereignty for a public purpose. This right is an inherent power of the state, and conditions on its exercise are in the Constitution at section 9 of Article </w:t>
      </w:r>
      <w:r w:rsidR="00EF128E">
        <w:rPr>
          <w:rFonts w:eastAsiaTheme="minorHAnsi"/>
          <w:lang w:val="en-US" w:eastAsia="en-US"/>
        </w:rPr>
        <w:t>III</w:t>
      </w:r>
      <w:r>
        <w:rPr>
          <w:rFonts w:eastAsiaTheme="minorHAnsi"/>
          <w:lang w:val="en-US" w:eastAsia="en-US"/>
        </w:rPr>
        <w:t xml:space="preserve">; 'private property shall not be taken for public use without just compensation.' </w:t>
      </w:r>
    </w:p>
    <w:p w:rsidR="00671317" w:rsidRDefault="00671317" w:rsidP="00671317">
      <w:pPr>
        <w:pStyle w:val="NormalIndent"/>
        <w:ind w:left="1277"/>
        <w:rPr>
          <w:rFonts w:eastAsiaTheme="minorHAnsi"/>
          <w:lang w:val="en-US" w:eastAsia="en-US"/>
        </w:rPr>
      </w:pPr>
      <w:r>
        <w:rPr>
          <w:rFonts w:eastAsiaTheme="minorHAnsi"/>
          <w:lang w:val="en-US" w:eastAsia="en-US"/>
        </w:rPr>
        <w:t>In order to exercise its right of eminent domain, 'four essential elements' must be met:</w:t>
      </w:r>
    </w:p>
    <w:p w:rsidR="00671317" w:rsidRDefault="00671317" w:rsidP="006A3EBE">
      <w:pPr>
        <w:pStyle w:val="AllensHeading4"/>
        <w:ind w:left="2694"/>
        <w:rPr>
          <w:rFonts w:eastAsiaTheme="minorHAnsi"/>
          <w:lang w:val="en-US" w:eastAsia="en-US"/>
        </w:rPr>
      </w:pPr>
      <w:r>
        <w:rPr>
          <w:rFonts w:eastAsiaTheme="minorHAnsi"/>
          <w:lang w:val="en-US" w:eastAsia="en-US"/>
        </w:rPr>
        <w:t>the property to be expropriated must be private;</w:t>
      </w:r>
    </w:p>
    <w:p w:rsidR="00671317" w:rsidRDefault="00671317" w:rsidP="006A3EBE">
      <w:pPr>
        <w:pStyle w:val="AllensHeading4"/>
        <w:ind w:left="2694"/>
        <w:rPr>
          <w:rFonts w:eastAsiaTheme="minorHAnsi"/>
          <w:lang w:val="en-US" w:eastAsia="en-US"/>
        </w:rPr>
      </w:pPr>
      <w:r>
        <w:rPr>
          <w:rFonts w:eastAsiaTheme="minorHAnsi"/>
          <w:lang w:val="en-US" w:eastAsia="en-US"/>
        </w:rPr>
        <w:t>the property must be used for a public purpose;</w:t>
      </w:r>
    </w:p>
    <w:p w:rsidR="00671317" w:rsidRDefault="00671317" w:rsidP="006A3EBE">
      <w:pPr>
        <w:pStyle w:val="AllensHeading4"/>
        <w:ind w:left="2694"/>
        <w:rPr>
          <w:rFonts w:eastAsiaTheme="minorHAnsi"/>
          <w:lang w:val="en-US" w:eastAsia="en-US"/>
        </w:rPr>
      </w:pPr>
      <w:bookmarkStart w:id="74" w:name="Section42aiii"/>
      <w:bookmarkEnd w:id="74"/>
      <w:r>
        <w:rPr>
          <w:rFonts w:eastAsiaTheme="minorHAnsi"/>
          <w:lang w:val="en-US" w:eastAsia="en-US"/>
        </w:rPr>
        <w:t>there must be just compensation; and</w:t>
      </w:r>
    </w:p>
    <w:p w:rsidR="00671317" w:rsidRDefault="00671317" w:rsidP="006A3EBE">
      <w:pPr>
        <w:pStyle w:val="AllensHeading4"/>
        <w:ind w:left="2694"/>
        <w:rPr>
          <w:rFonts w:eastAsiaTheme="minorHAnsi"/>
          <w:lang w:val="en-US" w:eastAsia="en-US"/>
        </w:rPr>
      </w:pPr>
      <w:proofErr w:type="gramStart"/>
      <w:r>
        <w:rPr>
          <w:rFonts w:eastAsiaTheme="minorHAnsi"/>
          <w:lang w:val="en-US" w:eastAsia="en-US"/>
        </w:rPr>
        <w:t>there</w:t>
      </w:r>
      <w:proofErr w:type="gramEnd"/>
      <w:r>
        <w:rPr>
          <w:rFonts w:eastAsiaTheme="minorHAnsi"/>
          <w:lang w:val="en-US" w:eastAsia="en-US"/>
        </w:rPr>
        <w:t xml:space="preserve"> must be due process of law in the expropriation.</w:t>
      </w:r>
      <w:bookmarkStart w:id="75" w:name="_Ref490638231"/>
      <w:r>
        <w:rPr>
          <w:rStyle w:val="FootnoteReference"/>
          <w:rFonts w:eastAsiaTheme="minorHAnsi"/>
          <w:lang w:val="en-US" w:eastAsia="en-US"/>
        </w:rPr>
        <w:footnoteReference w:id="198"/>
      </w:r>
      <w:bookmarkEnd w:id="75"/>
    </w:p>
    <w:p w:rsidR="00671317" w:rsidRPr="002B24FB" w:rsidRDefault="00671317" w:rsidP="00671317">
      <w:pPr>
        <w:pStyle w:val="AllensHeading4"/>
        <w:numPr>
          <w:ilvl w:val="0"/>
          <w:numId w:val="0"/>
        </w:numPr>
        <w:tabs>
          <w:tab w:val="left" w:pos="720"/>
        </w:tabs>
        <w:ind w:left="1277"/>
        <w:rPr>
          <w:rFonts w:eastAsiaTheme="minorHAnsi"/>
          <w:lang w:val="en-US" w:eastAsia="en-US"/>
        </w:rPr>
      </w:pPr>
      <w:r>
        <w:rPr>
          <w:rFonts w:eastAsiaTheme="minorHAnsi"/>
          <w:lang w:val="en-US" w:eastAsia="en-US"/>
        </w:rPr>
        <w:t xml:space="preserve">The requirement to pay 'just compensation' is discussed in more detail at </w:t>
      </w:r>
      <w:hyperlink w:anchor="Section44a" w:history="1">
        <w:r w:rsidRPr="002B24FB">
          <w:rPr>
            <w:rStyle w:val="Hyperlink"/>
            <w:rFonts w:eastAsiaTheme="minorHAnsi"/>
            <w:color w:val="auto"/>
            <w:u w:val="none"/>
            <w:lang w:val="en-US" w:eastAsia="en-US"/>
          </w:rPr>
          <w:t xml:space="preserve">section 4.4 </w:t>
        </w:r>
      </w:hyperlink>
      <w:r w:rsidRPr="002B24FB">
        <w:rPr>
          <w:rFonts w:eastAsiaTheme="minorHAnsi"/>
          <w:lang w:val="en-US" w:eastAsia="en-US"/>
        </w:rPr>
        <w:t xml:space="preserve">below. </w:t>
      </w:r>
    </w:p>
    <w:p w:rsidR="00671317" w:rsidRDefault="00671317" w:rsidP="00671317">
      <w:pPr>
        <w:pStyle w:val="AllensHeading4"/>
        <w:numPr>
          <w:ilvl w:val="0"/>
          <w:numId w:val="0"/>
        </w:numPr>
        <w:tabs>
          <w:tab w:val="left" w:pos="720"/>
        </w:tabs>
        <w:ind w:left="1277"/>
        <w:rPr>
          <w:rFonts w:eastAsiaTheme="minorHAnsi"/>
          <w:lang w:val="en-US" w:eastAsia="en-US"/>
        </w:rPr>
      </w:pPr>
      <w:r>
        <w:rPr>
          <w:rFonts w:eastAsiaTheme="minorHAnsi"/>
          <w:lang w:val="en-US" w:eastAsia="en-US"/>
        </w:rPr>
        <w:t>It should be noted that for the purposes of this power, 'property' includes franchises, contracts, copyrights and patents, but not money (except by taxation).</w:t>
      </w:r>
      <w:r>
        <w:rPr>
          <w:rStyle w:val="FootnoteReference"/>
          <w:rFonts w:eastAsiaTheme="minorHAnsi"/>
          <w:lang w:val="en-US" w:eastAsia="en-US"/>
        </w:rPr>
        <w:footnoteReference w:id="199"/>
      </w:r>
      <w:r>
        <w:rPr>
          <w:rFonts w:eastAsiaTheme="minorHAnsi"/>
          <w:lang w:val="en-US" w:eastAsia="en-US"/>
        </w:rPr>
        <w:t xml:space="preserve"> While religious properties are not exempt from the power of eminent domain, as a matter of policy they are generally never expropriated.</w:t>
      </w:r>
      <w:r>
        <w:rPr>
          <w:rStyle w:val="FootnoteReference"/>
          <w:rFonts w:eastAsiaTheme="minorHAnsi"/>
          <w:lang w:val="en-US" w:eastAsia="en-US"/>
        </w:rPr>
        <w:footnoteReference w:id="200"/>
      </w:r>
    </w:p>
    <w:p w:rsidR="00671317" w:rsidRDefault="00671317" w:rsidP="00671317">
      <w:pPr>
        <w:pStyle w:val="AllensHeading4"/>
        <w:numPr>
          <w:ilvl w:val="0"/>
          <w:numId w:val="0"/>
        </w:numPr>
        <w:tabs>
          <w:tab w:val="left" w:pos="720"/>
        </w:tabs>
        <w:ind w:left="1277"/>
        <w:rPr>
          <w:rFonts w:eastAsiaTheme="minorHAnsi"/>
          <w:lang w:val="en-US" w:eastAsia="en-US"/>
        </w:rPr>
      </w:pPr>
      <w:r>
        <w:rPr>
          <w:rFonts w:eastAsiaTheme="minorHAnsi"/>
          <w:lang w:val="en-US" w:eastAsia="en-US"/>
        </w:rPr>
        <w:t xml:space="preserve">The requirement at (ii), that the expropriation must be for a 'public purpose' has been broadly construed and </w:t>
      </w:r>
      <w:proofErr w:type="spellStart"/>
      <w:r>
        <w:rPr>
          <w:rFonts w:eastAsiaTheme="minorHAnsi"/>
          <w:lang w:val="en-US" w:eastAsia="en-US"/>
        </w:rPr>
        <w:t>utilised</w:t>
      </w:r>
      <w:proofErr w:type="spellEnd"/>
      <w:r>
        <w:rPr>
          <w:rFonts w:eastAsiaTheme="minorHAnsi"/>
          <w:lang w:val="en-US" w:eastAsia="en-US"/>
        </w:rPr>
        <w:t>; it can include 'public utility, such as roads and bridges; public enjoyment, such as parks and plazas; and public services such as public hospitals and cemeteries.'</w:t>
      </w:r>
      <w:r>
        <w:rPr>
          <w:rStyle w:val="FootnoteReference"/>
          <w:rFonts w:eastAsiaTheme="minorHAnsi"/>
          <w:lang w:val="en-US" w:eastAsia="en-US"/>
        </w:rPr>
        <w:footnoteReference w:id="201"/>
      </w:r>
    </w:p>
    <w:p w:rsidR="00671317" w:rsidRDefault="00671317" w:rsidP="00671317">
      <w:pPr>
        <w:pStyle w:val="AllensHeading4"/>
        <w:numPr>
          <w:ilvl w:val="0"/>
          <w:numId w:val="0"/>
        </w:numPr>
        <w:tabs>
          <w:tab w:val="left" w:pos="720"/>
        </w:tabs>
        <w:ind w:left="1277"/>
        <w:rPr>
          <w:rFonts w:eastAsiaTheme="minorHAnsi"/>
          <w:lang w:val="en-US" w:eastAsia="en-US"/>
        </w:rPr>
      </w:pPr>
      <w:r>
        <w:rPr>
          <w:rFonts w:eastAsiaTheme="minorHAnsi"/>
          <w:lang w:val="en-US" w:eastAsia="en-US"/>
        </w:rPr>
        <w:t>Perhaps the greatest constraint on the exercise of the government's right of eminent domain is the requirement at (</w:t>
      </w:r>
      <w:proofErr w:type="gramStart"/>
      <w:r>
        <w:rPr>
          <w:rFonts w:eastAsiaTheme="minorHAnsi"/>
          <w:lang w:val="en-US" w:eastAsia="en-US"/>
        </w:rPr>
        <w:t>iv</w:t>
      </w:r>
      <w:proofErr w:type="gramEnd"/>
      <w:r>
        <w:rPr>
          <w:rFonts w:eastAsiaTheme="minorHAnsi"/>
          <w:lang w:val="en-US" w:eastAsia="en-US"/>
        </w:rPr>
        <w:t xml:space="preserve">), to afford 'due process of law.' The requirements for due process in expropriation proceedings at the Supreme Court in Philippines (the highest </w:t>
      </w:r>
      <w:r w:rsidR="002E0894">
        <w:rPr>
          <w:rFonts w:eastAsiaTheme="minorHAnsi"/>
          <w:lang w:val="en-US" w:eastAsia="en-US"/>
        </w:rPr>
        <w:t xml:space="preserve">court </w:t>
      </w:r>
      <w:r w:rsidR="002E0894">
        <w:rPr>
          <w:rFonts w:eastAsiaTheme="minorHAnsi"/>
          <w:lang w:val="en-US" w:eastAsia="en-US"/>
        </w:rPr>
        <w:lastRenderedPageBreak/>
        <w:t>in the Philippines</w:t>
      </w:r>
      <w:r>
        <w:rPr>
          <w:rFonts w:eastAsiaTheme="minorHAnsi"/>
          <w:lang w:val="en-US" w:eastAsia="en-US"/>
        </w:rPr>
        <w:t>) are set out in Rule 67 of the 1997 Rules of Civil Procedure, as amended (Rules 1-71, Rules of Court) (effective 1 July 1997) (</w:t>
      </w:r>
      <w:r>
        <w:rPr>
          <w:rFonts w:eastAsiaTheme="minorHAnsi"/>
          <w:b/>
          <w:i/>
          <w:lang w:val="en-US" w:eastAsia="en-US"/>
        </w:rPr>
        <w:t>Supreme Court Rules</w:t>
      </w:r>
      <w:r>
        <w:rPr>
          <w:rFonts w:eastAsiaTheme="minorHAnsi"/>
          <w:lang w:val="en-US" w:eastAsia="en-US"/>
        </w:rPr>
        <w:t xml:space="preserve">). Rule 67 of the Supreme Court Rules contains 14 sections. In summary, the state is required to file a complaint with respect to the expropriation, naming all defendants owning or occupying the land. The defendant may either defend or acquiesce to the expropriation. Where there is acquiescence, up to three </w:t>
      </w:r>
      <w:proofErr w:type="gramStart"/>
      <w:r>
        <w:rPr>
          <w:rFonts w:eastAsiaTheme="minorHAnsi"/>
          <w:lang w:val="en-US" w:eastAsia="en-US"/>
        </w:rPr>
        <w:t>court</w:t>
      </w:r>
      <w:proofErr w:type="gramEnd"/>
      <w:r>
        <w:rPr>
          <w:rFonts w:eastAsiaTheme="minorHAnsi"/>
          <w:lang w:val="en-US" w:eastAsia="en-US"/>
        </w:rPr>
        <w:t xml:space="preserve"> appointed commissioners will proceed to determine just compensation. Otherwise, the defendant is to file a motion to dismiss the complaint with appropriate </w:t>
      </w:r>
      <w:proofErr w:type="spellStart"/>
      <w:r>
        <w:rPr>
          <w:rFonts w:eastAsiaTheme="minorHAnsi"/>
          <w:lang w:val="en-US" w:eastAsia="en-US"/>
        </w:rPr>
        <w:t>defences</w:t>
      </w:r>
      <w:proofErr w:type="spellEnd"/>
      <w:r>
        <w:rPr>
          <w:rFonts w:eastAsiaTheme="minorHAnsi"/>
          <w:lang w:val="en-US" w:eastAsia="en-US"/>
        </w:rPr>
        <w:t>. The court will then determine the issue (including quantum of compensation by reference to the decision of the independent commissioners, where appropriate). A final order by the court to expropriate the property may be appealed by any party aggrieved by it.</w:t>
      </w:r>
    </w:p>
    <w:p w:rsidR="00671317" w:rsidRDefault="00671317" w:rsidP="00671317">
      <w:pPr>
        <w:pStyle w:val="AllensHeading4"/>
        <w:numPr>
          <w:ilvl w:val="0"/>
          <w:numId w:val="0"/>
        </w:numPr>
        <w:tabs>
          <w:tab w:val="left" w:pos="720"/>
        </w:tabs>
        <w:ind w:left="1277"/>
        <w:rPr>
          <w:rFonts w:eastAsiaTheme="minorHAnsi"/>
          <w:highlight w:val="yellow"/>
          <w:lang w:val="en-US" w:eastAsia="en-US"/>
        </w:rPr>
      </w:pPr>
      <w:r>
        <w:rPr>
          <w:rFonts w:eastAsiaTheme="minorHAnsi"/>
          <w:lang w:val="en-US" w:eastAsia="en-US"/>
        </w:rPr>
        <w:t xml:space="preserve">In addition to this general power of expropriation, there are other ad hoc statutes that permit expropriation for specified purposes (none of which could be </w:t>
      </w:r>
      <w:proofErr w:type="spellStart"/>
      <w:r>
        <w:rPr>
          <w:rFonts w:eastAsiaTheme="minorHAnsi"/>
          <w:lang w:val="en-US" w:eastAsia="en-US"/>
        </w:rPr>
        <w:t>utilised</w:t>
      </w:r>
      <w:proofErr w:type="spellEnd"/>
      <w:r>
        <w:rPr>
          <w:rFonts w:eastAsiaTheme="minorHAnsi"/>
          <w:lang w:val="en-US" w:eastAsia="en-US"/>
        </w:rPr>
        <w:t xml:space="preserve"> in a disaster context, and are therefore only relayed here in summary form). For example, the Filipino government has enacted legislation to expedite its ability to expropriate land specifically for the purpose of right of way </w:t>
      </w:r>
      <w:r w:rsidRPr="00292CDD">
        <w:rPr>
          <w:rFonts w:eastAsiaTheme="minorHAnsi"/>
          <w:lang w:val="en-US" w:eastAsia="en-US"/>
        </w:rPr>
        <w:t>locations for government infrastructure projects.</w:t>
      </w:r>
      <w:r w:rsidRPr="00292CDD">
        <w:rPr>
          <w:rStyle w:val="FootnoteReference"/>
          <w:rFonts w:eastAsiaTheme="minorHAnsi"/>
          <w:lang w:val="en-US" w:eastAsia="en-US"/>
        </w:rPr>
        <w:footnoteReference w:id="202"/>
      </w:r>
      <w:r w:rsidRPr="00292CDD">
        <w:rPr>
          <w:rFonts w:eastAsiaTheme="minorHAnsi"/>
          <w:lang w:val="en-US" w:eastAsia="en-US"/>
        </w:rPr>
        <w:t xml:space="preserve"> Furthermore, Chapter V of CARPER</w:t>
      </w:r>
      <w:r w:rsidR="00292CDD" w:rsidRPr="00292CDD">
        <w:rPr>
          <w:rFonts w:eastAsiaTheme="minorHAnsi"/>
          <w:lang w:val="en-US" w:eastAsia="en-US"/>
        </w:rPr>
        <w:t xml:space="preserve"> </w:t>
      </w:r>
      <w:r>
        <w:rPr>
          <w:rFonts w:eastAsiaTheme="minorHAnsi"/>
          <w:lang w:val="en-US" w:eastAsia="en-US"/>
        </w:rPr>
        <w:t>permits expropriation to facilitate the allocation of agrarian areas. There are also mechanisms to expropriate land under UDHA, though pursuant to section 10, it must be used only when other models of acquisition have been exhausted.</w:t>
      </w:r>
    </w:p>
    <w:p w:rsidR="00671317" w:rsidRDefault="00671317" w:rsidP="00671317">
      <w:pPr>
        <w:pStyle w:val="NormalIndent"/>
        <w:ind w:left="1277"/>
        <w:rPr>
          <w:rFonts w:eastAsiaTheme="minorHAnsi"/>
          <w:lang w:val="en-US" w:eastAsia="en-US"/>
        </w:rPr>
      </w:pPr>
      <w:r>
        <w:rPr>
          <w:rFonts w:eastAsiaTheme="minorHAnsi"/>
          <w:lang w:val="en-US" w:eastAsia="en-US"/>
        </w:rPr>
        <w:t xml:space="preserve">Finally, the federal government's power of </w:t>
      </w:r>
      <w:r w:rsidR="00C10CAA">
        <w:rPr>
          <w:rFonts w:eastAsiaTheme="minorHAnsi"/>
          <w:lang w:val="en-US" w:eastAsia="en-US"/>
        </w:rPr>
        <w:t>e</w:t>
      </w:r>
      <w:r>
        <w:rPr>
          <w:rFonts w:eastAsiaTheme="minorHAnsi"/>
          <w:lang w:val="en-US" w:eastAsia="en-US"/>
        </w:rPr>
        <w:t xml:space="preserve">minent </w:t>
      </w:r>
      <w:r w:rsidR="00C10CAA">
        <w:rPr>
          <w:rFonts w:eastAsiaTheme="minorHAnsi"/>
          <w:lang w:val="en-US" w:eastAsia="en-US"/>
        </w:rPr>
        <w:t>d</w:t>
      </w:r>
      <w:r>
        <w:rPr>
          <w:rFonts w:eastAsiaTheme="minorHAnsi"/>
          <w:lang w:val="en-US" w:eastAsia="en-US"/>
        </w:rPr>
        <w:t xml:space="preserve">omain can be, and has been, delegated to </w:t>
      </w:r>
      <w:r w:rsidR="0006021E">
        <w:rPr>
          <w:rFonts w:eastAsiaTheme="minorHAnsi"/>
          <w:lang w:val="en-US" w:eastAsia="en-US"/>
        </w:rPr>
        <w:t xml:space="preserve">LGUs </w:t>
      </w:r>
      <w:r w:rsidR="000C7F2B">
        <w:rPr>
          <w:rFonts w:eastAsiaTheme="minorHAnsi"/>
          <w:lang w:val="en-US" w:eastAsia="en-US"/>
        </w:rPr>
        <w:t>under the</w:t>
      </w:r>
      <w:r>
        <w:rPr>
          <w:rFonts w:eastAsiaTheme="minorHAnsi"/>
          <w:i/>
          <w:lang w:val="en-US" w:eastAsia="en-US"/>
        </w:rPr>
        <w:t xml:space="preserve"> </w:t>
      </w:r>
      <w:r w:rsidR="00BB7A13" w:rsidRPr="00BB7A13">
        <w:rPr>
          <w:rFonts w:eastAsiaTheme="minorHAnsi"/>
          <w:lang w:val="en-US" w:eastAsia="en-US"/>
        </w:rPr>
        <w:t>Local Government Code</w:t>
      </w:r>
      <w:r w:rsidR="000C7F2B">
        <w:rPr>
          <w:rFonts w:eastAsiaTheme="minorHAnsi"/>
          <w:lang w:val="en-US" w:eastAsia="en-US"/>
        </w:rPr>
        <w:t xml:space="preserve">. Section 19 of this Code </w:t>
      </w:r>
      <w:r>
        <w:rPr>
          <w:rFonts w:eastAsiaTheme="minorHAnsi"/>
          <w:lang w:val="en-US" w:eastAsia="en-US"/>
        </w:rPr>
        <w:t>provides that a</w:t>
      </w:r>
      <w:r w:rsidR="0006021E">
        <w:rPr>
          <w:rFonts w:eastAsiaTheme="minorHAnsi"/>
          <w:lang w:val="en-US" w:eastAsia="en-US"/>
        </w:rPr>
        <w:t>n</w:t>
      </w:r>
      <w:r>
        <w:rPr>
          <w:rFonts w:eastAsiaTheme="minorHAnsi"/>
          <w:lang w:val="en-US" w:eastAsia="en-US"/>
        </w:rPr>
        <w:t xml:space="preserve"> </w:t>
      </w:r>
      <w:r w:rsidR="0006021E">
        <w:rPr>
          <w:rFonts w:eastAsiaTheme="minorHAnsi"/>
          <w:lang w:val="en-US" w:eastAsia="en-US"/>
        </w:rPr>
        <w:t xml:space="preserve">LGU </w:t>
      </w:r>
      <w:r>
        <w:rPr>
          <w:rFonts w:eastAsiaTheme="minorHAnsi"/>
          <w:lang w:val="en-US" w:eastAsia="en-US"/>
        </w:rPr>
        <w:t xml:space="preserve">may exercise the power of eminent domain for 'public use' for the benefit of the poor and landless 'upon payment of just compensation'. Notably, this power is 'pursuant to the provisions of the Constitution.' Therefore, the requirements contained in the Constitution constraining the right to exercise the power of eminent domain apply to </w:t>
      </w:r>
      <w:r w:rsidR="0006021E">
        <w:rPr>
          <w:rFonts w:eastAsiaTheme="minorHAnsi"/>
          <w:lang w:val="en-US" w:eastAsia="en-US"/>
        </w:rPr>
        <w:t>LGUs</w:t>
      </w:r>
      <w:r>
        <w:rPr>
          <w:rFonts w:eastAsiaTheme="minorHAnsi"/>
          <w:lang w:val="en-US" w:eastAsia="en-US"/>
        </w:rPr>
        <w:t xml:space="preserve"> too. However, section 19 adds a further procedural step, and provides that local governments may not expropriate land unless a value and definite offer has previously been made to, and rejected by, the owner. It should be noted that case law authority has emphasized that this power is simply delegated, and 'the grant of the power of eminent domain to local</w:t>
      </w:r>
      <w:r w:rsidR="000C7F2B">
        <w:rPr>
          <w:rFonts w:eastAsiaTheme="minorHAnsi"/>
          <w:lang w:val="en-US" w:eastAsia="en-US"/>
        </w:rPr>
        <w:t xml:space="preserve"> governments under </w:t>
      </w:r>
      <w:r w:rsidR="00BB7A13" w:rsidRPr="00BB7A13">
        <w:rPr>
          <w:rFonts w:eastAsiaTheme="minorHAnsi" w:cs="Arial"/>
          <w:lang w:eastAsia="en-US"/>
        </w:rPr>
        <w:t>the Local Government Code</w:t>
      </w:r>
      <w:r w:rsidR="00BB7A13">
        <w:rPr>
          <w:rFonts w:eastAsiaTheme="minorHAnsi" w:cs="Arial"/>
          <w:i/>
          <w:lang w:eastAsia="en-US"/>
        </w:rPr>
        <w:t xml:space="preserve"> </w:t>
      </w:r>
      <w:r>
        <w:rPr>
          <w:rFonts w:eastAsiaTheme="minorHAnsi"/>
          <w:lang w:val="en-US" w:eastAsia="en-US"/>
        </w:rPr>
        <w:t>cannot be understood as being the pervasive and all-encompassing power vested in the legislative branch of government.'</w:t>
      </w:r>
      <w:r>
        <w:rPr>
          <w:rStyle w:val="FootnoteReference"/>
          <w:rFonts w:eastAsiaTheme="minorHAnsi"/>
          <w:lang w:val="en-US" w:eastAsia="en-US"/>
        </w:rPr>
        <w:footnoteReference w:id="203"/>
      </w:r>
    </w:p>
    <w:p w:rsidR="00671317" w:rsidRDefault="00671317" w:rsidP="006A3EBE">
      <w:pPr>
        <w:pStyle w:val="AllensHeading3"/>
        <w:rPr>
          <w:rFonts w:eastAsiaTheme="minorHAnsi"/>
          <w:b/>
          <w:lang w:val="en-US" w:eastAsia="en-US"/>
        </w:rPr>
      </w:pPr>
      <w:bookmarkStart w:id="76" w:name="Section42B"/>
      <w:bookmarkEnd w:id="76"/>
      <w:r>
        <w:rPr>
          <w:rFonts w:eastAsiaTheme="minorHAnsi"/>
          <w:b/>
          <w:lang w:val="en-US" w:eastAsia="en-US"/>
        </w:rPr>
        <w:t>Are those laws or regulations applicable in the context of a disaster?</w:t>
      </w:r>
    </w:p>
    <w:p w:rsidR="00671317" w:rsidRDefault="00671317" w:rsidP="00671317">
      <w:pPr>
        <w:pStyle w:val="NormalIndent"/>
        <w:ind w:left="1418"/>
        <w:rPr>
          <w:rFonts w:eastAsiaTheme="minorHAnsi"/>
          <w:lang w:val="en-US" w:eastAsia="en-US"/>
        </w:rPr>
      </w:pPr>
      <w:r>
        <w:rPr>
          <w:rFonts w:eastAsiaTheme="minorHAnsi"/>
          <w:lang w:val="en-US" w:eastAsia="en-US"/>
        </w:rPr>
        <w:t xml:space="preserve">While, theoretically, the power of eminent domain could most likely be invoked by federal or local governments on the basis that disaster housing would comprise a 'public purpose', the requirement that such power accord with due process would mean that it will be impractical to rely on this power. </w:t>
      </w:r>
    </w:p>
    <w:p w:rsidR="00671317" w:rsidRDefault="00671317" w:rsidP="00671317">
      <w:pPr>
        <w:pStyle w:val="NormalIndent"/>
        <w:ind w:left="1418"/>
        <w:rPr>
          <w:rFonts w:eastAsiaTheme="minorHAnsi"/>
          <w:lang w:val="en-US" w:eastAsia="en-US"/>
        </w:rPr>
      </w:pPr>
      <w:r>
        <w:rPr>
          <w:rFonts w:eastAsiaTheme="minorHAnsi"/>
          <w:lang w:val="en-US" w:eastAsia="en-US"/>
        </w:rPr>
        <w:t xml:space="preserve">There may be some scope to expedite due process by </w:t>
      </w:r>
      <w:proofErr w:type="spellStart"/>
      <w:r>
        <w:rPr>
          <w:rFonts w:eastAsiaTheme="minorHAnsi"/>
          <w:lang w:val="en-US" w:eastAsia="en-US"/>
        </w:rPr>
        <w:t>utilising</w:t>
      </w:r>
      <w:proofErr w:type="spellEnd"/>
      <w:r>
        <w:rPr>
          <w:rFonts w:eastAsiaTheme="minorHAnsi"/>
          <w:lang w:val="en-US" w:eastAsia="en-US"/>
        </w:rPr>
        <w:t xml:space="preserve"> the mechanism under section 2 of Rule 67 of the Supreme Court Rules. Under that section, upon filing of a complaint or at any time thereafter, the plaintiff may take possession of the real property so long as the market value of the property is deposited with the authorized government depositary. After that deposit is made, the court shall order the sheriff to take possession of the property. </w:t>
      </w:r>
    </w:p>
    <w:p w:rsidR="00671317" w:rsidRDefault="00671317" w:rsidP="00671317">
      <w:pPr>
        <w:pStyle w:val="NormalIndent"/>
        <w:ind w:left="1418"/>
        <w:rPr>
          <w:rFonts w:eastAsiaTheme="minorHAnsi"/>
          <w:lang w:val="en-US" w:eastAsia="en-US"/>
        </w:rPr>
      </w:pPr>
      <w:r>
        <w:rPr>
          <w:rFonts w:eastAsiaTheme="minorHAnsi"/>
          <w:lang w:val="en-US" w:eastAsia="en-US"/>
        </w:rPr>
        <w:t xml:space="preserve">However, even this provision for compulsory possession may be impractical in a disaster context; the plaintiff may only apply for possession 'after due notice to the defendant', and </w:t>
      </w:r>
      <w:r>
        <w:rPr>
          <w:rFonts w:eastAsiaTheme="minorHAnsi"/>
          <w:lang w:val="en-US" w:eastAsia="en-US"/>
        </w:rPr>
        <w:lastRenderedPageBreak/>
        <w:t>Rule 67 still permits the defendant to oppose the possession and expropriation generally. Therefore, any such possession would still be protracted and security of possession would be uncertain.</w:t>
      </w:r>
    </w:p>
    <w:p w:rsidR="00671317" w:rsidRDefault="00671317" w:rsidP="00671317">
      <w:pPr>
        <w:pStyle w:val="NormalIndent"/>
        <w:ind w:left="1418"/>
        <w:rPr>
          <w:rFonts w:eastAsiaTheme="minorHAnsi"/>
          <w:lang w:val="en-US" w:eastAsia="en-US"/>
        </w:rPr>
      </w:pPr>
      <w:r>
        <w:rPr>
          <w:rFonts w:eastAsiaTheme="minorHAnsi"/>
          <w:lang w:val="en-US" w:eastAsia="en-US"/>
        </w:rPr>
        <w:t xml:space="preserve">In summary, we have not identified any law that appears to, practically </w:t>
      </w:r>
      <w:proofErr w:type="gramStart"/>
      <w:r>
        <w:rPr>
          <w:rFonts w:eastAsiaTheme="minorHAnsi"/>
          <w:lang w:val="en-US" w:eastAsia="en-US"/>
        </w:rPr>
        <w:t>speaking,</w:t>
      </w:r>
      <w:proofErr w:type="gramEnd"/>
      <w:r>
        <w:rPr>
          <w:rFonts w:eastAsiaTheme="minorHAnsi"/>
          <w:lang w:val="en-US" w:eastAsia="en-US"/>
        </w:rPr>
        <w:t xml:space="preserve"> permit the government to expropriate land in the context of a disaster. We have set out more detail on the specific requirements below.</w:t>
      </w:r>
    </w:p>
    <w:p w:rsidR="00671317" w:rsidRPr="009059BF" w:rsidRDefault="00671317" w:rsidP="00671317">
      <w:pPr>
        <w:pStyle w:val="Schedule4"/>
        <w:numPr>
          <w:ilvl w:val="5"/>
          <w:numId w:val="25"/>
        </w:numPr>
        <w:tabs>
          <w:tab w:val="clear" w:pos="2126"/>
          <w:tab w:val="num" w:pos="2835"/>
        </w:tabs>
        <w:ind w:left="2835"/>
        <w:rPr>
          <w:rFonts w:eastAsiaTheme="minorHAnsi"/>
          <w:b/>
          <w:lang w:val="en-US" w:eastAsia="en-US"/>
        </w:rPr>
      </w:pPr>
      <w:r w:rsidRPr="009059BF">
        <w:rPr>
          <w:rFonts w:eastAsiaTheme="minorHAnsi"/>
          <w:b/>
          <w:lang w:val="en-US" w:eastAsia="en-US"/>
        </w:rPr>
        <w:t xml:space="preserve">The </w:t>
      </w:r>
      <w:r w:rsidR="009059BF" w:rsidRPr="009059BF">
        <w:rPr>
          <w:rFonts w:eastAsiaTheme="minorHAnsi"/>
          <w:b/>
          <w:lang w:val="en-US" w:eastAsia="en-US"/>
        </w:rPr>
        <w:t>Disaster Act</w:t>
      </w:r>
    </w:p>
    <w:p w:rsidR="00671317" w:rsidRDefault="00671317" w:rsidP="00671317">
      <w:pPr>
        <w:pStyle w:val="NormalIndent"/>
        <w:ind w:left="2127"/>
        <w:rPr>
          <w:rFonts w:eastAsiaTheme="minorHAnsi"/>
          <w:lang w:val="en-US" w:eastAsia="en-US"/>
        </w:rPr>
      </w:pPr>
      <w:r>
        <w:rPr>
          <w:rFonts w:eastAsiaTheme="minorHAnsi"/>
          <w:lang w:val="en-US" w:eastAsia="en-US"/>
        </w:rPr>
        <w:t>We have identified nothing in</w:t>
      </w:r>
      <w:r w:rsidR="000C7F2B">
        <w:rPr>
          <w:rFonts w:eastAsiaTheme="minorHAnsi"/>
          <w:i/>
          <w:lang w:val="en-US" w:eastAsia="en-US"/>
        </w:rPr>
        <w:t xml:space="preserve"> </w:t>
      </w:r>
      <w:r w:rsidR="00BB7A13" w:rsidRPr="00BB7A13">
        <w:rPr>
          <w:rFonts w:eastAsiaTheme="minorHAnsi"/>
          <w:lang w:val="en-US" w:eastAsia="en-US"/>
        </w:rPr>
        <w:t>the</w:t>
      </w:r>
      <w:r w:rsidR="00BB7A13">
        <w:rPr>
          <w:rFonts w:eastAsiaTheme="minorHAnsi"/>
          <w:i/>
          <w:lang w:val="en-US" w:eastAsia="en-US"/>
        </w:rPr>
        <w:t xml:space="preserve"> </w:t>
      </w:r>
      <w:r>
        <w:rPr>
          <w:rFonts w:eastAsiaTheme="minorHAnsi"/>
          <w:i/>
          <w:lang w:val="en-US" w:eastAsia="en-US"/>
        </w:rPr>
        <w:t>Disaster Risk Reduction and Management Act of 2010</w:t>
      </w:r>
      <w:r w:rsidR="000C7F2B">
        <w:rPr>
          <w:rFonts w:eastAsiaTheme="minorHAnsi"/>
          <w:i/>
          <w:lang w:val="en-US" w:eastAsia="en-US"/>
        </w:rPr>
        <w:t xml:space="preserve"> </w:t>
      </w:r>
      <w:r w:rsidR="000C7F2B">
        <w:rPr>
          <w:rFonts w:eastAsiaTheme="minorHAnsi"/>
          <w:lang w:val="en-US" w:eastAsia="en-US"/>
        </w:rPr>
        <w:t>(</w:t>
      </w:r>
      <w:r w:rsidR="000C7F2B" w:rsidRPr="000C7F2B">
        <w:rPr>
          <w:rFonts w:eastAsiaTheme="minorHAnsi"/>
          <w:lang w:val="en-US" w:eastAsia="en-US"/>
        </w:rPr>
        <w:t>Republic Act 1012)</w:t>
      </w:r>
      <w:r>
        <w:rPr>
          <w:rFonts w:eastAsiaTheme="minorHAnsi"/>
          <w:lang w:val="en-US" w:eastAsia="en-US"/>
        </w:rPr>
        <w:t xml:space="preserve"> (the </w:t>
      </w:r>
      <w:r>
        <w:rPr>
          <w:rFonts w:eastAsiaTheme="minorHAnsi"/>
          <w:b/>
          <w:i/>
          <w:lang w:val="en-US" w:eastAsia="en-US"/>
        </w:rPr>
        <w:t>Disaster Act</w:t>
      </w:r>
      <w:r>
        <w:rPr>
          <w:rFonts w:eastAsiaTheme="minorHAnsi"/>
          <w:lang w:val="en-US" w:eastAsia="en-US"/>
        </w:rPr>
        <w:t xml:space="preserve">), its implementing rules or the National Disaster Risk Reduction and Management Plan that permits the acquisition or usage of land in the context of a disaster. </w:t>
      </w:r>
    </w:p>
    <w:p w:rsidR="00671317" w:rsidRDefault="00671317" w:rsidP="00671317">
      <w:pPr>
        <w:pStyle w:val="NormalIndent"/>
        <w:ind w:left="2127"/>
        <w:rPr>
          <w:rFonts w:eastAsiaTheme="minorHAnsi"/>
          <w:lang w:val="en-US" w:eastAsia="en-US"/>
        </w:rPr>
      </w:pPr>
      <w:r>
        <w:rPr>
          <w:rFonts w:eastAsiaTheme="minorHAnsi"/>
          <w:lang w:val="en-US" w:eastAsia="en-US"/>
        </w:rPr>
        <w:t>Instead, the Disaster Act provides for a declaration of a 'State of Calamity,' which is defined in section 3(II) to be 'a condition involving mass casualty and/or major damages to property, disruption of means of livelihood, roads and normal way of life of people as a result of the occurrence of natural or human-induced hazard.' The declaration of a State of Calamity enables remedial measures to commence. Such measures include:</w:t>
      </w:r>
    </w:p>
    <w:p w:rsidR="00671317" w:rsidRDefault="00671317" w:rsidP="00671317">
      <w:pPr>
        <w:pStyle w:val="Bullet3"/>
        <w:numPr>
          <w:ilvl w:val="0"/>
          <w:numId w:val="34"/>
        </w:numPr>
        <w:tabs>
          <w:tab w:val="clear" w:pos="2126"/>
          <w:tab w:val="num" w:pos="2835"/>
        </w:tabs>
        <w:ind w:left="2835"/>
        <w:rPr>
          <w:rFonts w:eastAsiaTheme="minorHAnsi"/>
          <w:lang w:val="en-US" w:eastAsia="en-US"/>
        </w:rPr>
      </w:pPr>
      <w:r>
        <w:rPr>
          <w:rFonts w:eastAsiaTheme="minorHAnsi"/>
          <w:lang w:val="en-US" w:eastAsia="en-US"/>
        </w:rPr>
        <w:t xml:space="preserve">the introduction of a price ceiling for basic necessities; </w:t>
      </w:r>
    </w:p>
    <w:p w:rsidR="00671317" w:rsidRDefault="00671317" w:rsidP="00671317">
      <w:pPr>
        <w:pStyle w:val="Bullet3"/>
        <w:numPr>
          <w:ilvl w:val="0"/>
          <w:numId w:val="34"/>
        </w:numPr>
        <w:ind w:left="2835"/>
        <w:rPr>
          <w:rFonts w:eastAsiaTheme="minorHAnsi"/>
          <w:lang w:val="en-US" w:eastAsia="en-US"/>
        </w:rPr>
      </w:pPr>
      <w:r>
        <w:rPr>
          <w:rFonts w:eastAsiaTheme="minorHAnsi"/>
          <w:lang w:val="en-US" w:eastAsia="en-US"/>
        </w:rPr>
        <w:t xml:space="preserve">provision for monitoring, prevention and control of overpricing and </w:t>
      </w:r>
      <w:r w:rsidR="00E6726E">
        <w:rPr>
          <w:rFonts w:eastAsiaTheme="minorHAnsi"/>
          <w:lang w:val="en-US" w:eastAsia="en-US"/>
        </w:rPr>
        <w:t>ex</w:t>
      </w:r>
      <w:r>
        <w:rPr>
          <w:rFonts w:eastAsiaTheme="minorHAnsi"/>
          <w:lang w:val="en-US" w:eastAsia="en-US"/>
        </w:rPr>
        <w:t xml:space="preserve">ploitative practices with respect to prime commodities, medicine and petroleum products; </w:t>
      </w:r>
    </w:p>
    <w:p w:rsidR="00671317" w:rsidRDefault="00671317" w:rsidP="00671317">
      <w:pPr>
        <w:pStyle w:val="Bullet3"/>
        <w:numPr>
          <w:ilvl w:val="0"/>
          <w:numId w:val="34"/>
        </w:numPr>
        <w:ind w:left="2835"/>
        <w:rPr>
          <w:rFonts w:eastAsiaTheme="minorHAnsi"/>
          <w:lang w:val="en-US" w:eastAsia="en-US"/>
        </w:rPr>
      </w:pPr>
      <w:r>
        <w:rPr>
          <w:rFonts w:eastAsiaTheme="minorHAnsi"/>
          <w:lang w:val="en-US" w:eastAsia="en-US"/>
        </w:rPr>
        <w:t xml:space="preserve">programming funds for the repair and upgrading of public infrastructure; and </w:t>
      </w:r>
    </w:p>
    <w:p w:rsidR="00671317" w:rsidRDefault="00671317" w:rsidP="00671317">
      <w:pPr>
        <w:pStyle w:val="Bullet3"/>
        <w:numPr>
          <w:ilvl w:val="0"/>
          <w:numId w:val="34"/>
        </w:numPr>
        <w:ind w:left="2835"/>
        <w:rPr>
          <w:rFonts w:eastAsiaTheme="minorHAnsi"/>
          <w:lang w:val="en-US" w:eastAsia="en-US"/>
        </w:rPr>
      </w:pPr>
      <w:proofErr w:type="gramStart"/>
      <w:r>
        <w:rPr>
          <w:rFonts w:eastAsiaTheme="minorHAnsi"/>
          <w:lang w:val="en-US" w:eastAsia="en-US"/>
        </w:rPr>
        <w:t>granting</w:t>
      </w:r>
      <w:proofErr w:type="gramEnd"/>
      <w:r>
        <w:rPr>
          <w:rFonts w:eastAsiaTheme="minorHAnsi"/>
          <w:lang w:val="en-US" w:eastAsia="en-US"/>
        </w:rPr>
        <w:t xml:space="preserve"> of no-interest loans by government financing or lending institutions to the most affected section of the population.</w:t>
      </w:r>
    </w:p>
    <w:p w:rsidR="00671317" w:rsidRDefault="00671317" w:rsidP="00671317">
      <w:pPr>
        <w:pStyle w:val="NormalIndent"/>
        <w:ind w:left="2127"/>
        <w:rPr>
          <w:rFonts w:eastAsiaTheme="minorHAnsi"/>
          <w:lang w:val="en-US" w:eastAsia="en-US"/>
        </w:rPr>
      </w:pPr>
      <w:r>
        <w:rPr>
          <w:rFonts w:eastAsiaTheme="minorHAnsi"/>
          <w:lang w:val="en-US" w:eastAsia="en-US"/>
        </w:rPr>
        <w:t>However, the declaration of a State of Calamity does not, for example, permit government expropriation of land without the requisite due process.</w:t>
      </w:r>
    </w:p>
    <w:p w:rsidR="00671317" w:rsidRPr="009059BF" w:rsidRDefault="00671317" w:rsidP="00671317">
      <w:pPr>
        <w:pStyle w:val="Schedule4"/>
        <w:numPr>
          <w:ilvl w:val="5"/>
          <w:numId w:val="25"/>
        </w:numPr>
        <w:ind w:left="2835"/>
        <w:rPr>
          <w:rFonts w:eastAsiaTheme="minorHAnsi"/>
          <w:b/>
          <w:lang w:val="en-US" w:eastAsia="en-US"/>
        </w:rPr>
      </w:pPr>
      <w:r w:rsidRPr="009059BF">
        <w:rPr>
          <w:rFonts w:eastAsiaTheme="minorHAnsi"/>
          <w:b/>
          <w:lang w:val="en-US" w:eastAsia="en-US"/>
        </w:rPr>
        <w:t>Local Government Code Powers</w:t>
      </w:r>
    </w:p>
    <w:p w:rsidR="00671317" w:rsidRDefault="00671317" w:rsidP="00671317">
      <w:pPr>
        <w:pStyle w:val="NormalIndent"/>
        <w:ind w:left="2127"/>
        <w:rPr>
          <w:rFonts w:eastAsiaTheme="minorHAnsi"/>
          <w:lang w:val="en-US" w:eastAsia="en-US"/>
        </w:rPr>
      </w:pPr>
      <w:r>
        <w:rPr>
          <w:rFonts w:eastAsiaTheme="minorHAnsi"/>
          <w:lang w:val="en-US" w:eastAsia="en-US"/>
        </w:rPr>
        <w:t xml:space="preserve">In addition to the delegated right of eminent domain, </w:t>
      </w:r>
      <w:r w:rsidR="0006021E">
        <w:rPr>
          <w:rFonts w:eastAsiaTheme="minorHAnsi"/>
          <w:lang w:val="en-US" w:eastAsia="en-US"/>
        </w:rPr>
        <w:t xml:space="preserve">LGUs </w:t>
      </w:r>
      <w:r>
        <w:rPr>
          <w:rFonts w:eastAsiaTheme="minorHAnsi"/>
          <w:lang w:val="en-US" w:eastAsia="en-US"/>
        </w:rPr>
        <w:t>are conferred specific powers in times of natural disaster. Section 465(b</w:t>
      </w:r>
      <w:proofErr w:type="gramStart"/>
      <w:r>
        <w:rPr>
          <w:rFonts w:eastAsiaTheme="minorHAnsi"/>
          <w:lang w:val="en-US" w:eastAsia="en-US"/>
        </w:rPr>
        <w:t>)(</w:t>
      </w:r>
      <w:proofErr w:type="gramEnd"/>
      <w:r>
        <w:rPr>
          <w:rFonts w:eastAsiaTheme="minorHAnsi"/>
          <w:lang w:val="en-US" w:eastAsia="en-US"/>
        </w:rPr>
        <w:t>1)(vii) of the Local Government Code permits the municipal mayor to supervise municipal government and provides that he or she shall:</w:t>
      </w:r>
    </w:p>
    <w:p w:rsidR="00671317" w:rsidRDefault="00671317" w:rsidP="00671317">
      <w:pPr>
        <w:pStyle w:val="NormalIndent"/>
        <w:ind w:left="2869"/>
        <w:rPr>
          <w:rFonts w:eastAsiaTheme="minorHAnsi"/>
          <w:sz w:val="18"/>
          <w:lang w:val="en-US" w:eastAsia="en-US"/>
        </w:rPr>
      </w:pPr>
      <w:proofErr w:type="gramStart"/>
      <w:r>
        <w:rPr>
          <w:rFonts w:eastAsiaTheme="minorHAnsi"/>
          <w:sz w:val="18"/>
          <w:lang w:val="en-US" w:eastAsia="en-US"/>
        </w:rPr>
        <w:t>carry</w:t>
      </w:r>
      <w:proofErr w:type="gramEnd"/>
      <w:r>
        <w:rPr>
          <w:rFonts w:eastAsiaTheme="minorHAnsi"/>
          <w:sz w:val="18"/>
          <w:lang w:val="en-US" w:eastAsia="en-US"/>
        </w:rPr>
        <w:t xml:space="preserve"> out such emergency measures as may be necessary during and in the aftermath of man-made and natura</w:t>
      </w:r>
      <w:r w:rsidR="0006021E">
        <w:rPr>
          <w:rFonts w:eastAsiaTheme="minorHAnsi"/>
          <w:sz w:val="18"/>
          <w:lang w:val="en-US" w:eastAsia="en-US"/>
        </w:rPr>
        <w:t>l disasters and calamities.</w:t>
      </w:r>
    </w:p>
    <w:p w:rsidR="00671317" w:rsidRDefault="00671317" w:rsidP="00671317">
      <w:pPr>
        <w:pStyle w:val="NormalIndent"/>
        <w:ind w:left="2127"/>
        <w:rPr>
          <w:rFonts w:eastAsiaTheme="minorHAnsi"/>
          <w:lang w:val="en-US" w:eastAsia="en-US"/>
        </w:rPr>
      </w:pPr>
      <w:r>
        <w:rPr>
          <w:rFonts w:eastAsiaTheme="minorHAnsi"/>
          <w:lang w:val="en-US" w:eastAsia="en-US"/>
        </w:rPr>
        <w:t>The phrase 'such emergency measures as may be necessary' is unqualified and, therefore, is capable of including expropriation of land. In fact, this power was used by LGUs following Typhoon Haiyan in 2015, after they had concluded that there was not enough land already owned by the government. However, there were practical impediments to expropriation at the government level. Importantly, many LGUs lacked sufficient funds to purchase privately held land. They required national or other assistance, and these funds were slow to arrive.</w:t>
      </w:r>
      <w:r>
        <w:rPr>
          <w:rStyle w:val="FootnoteReference"/>
          <w:rFonts w:eastAsiaTheme="minorHAnsi"/>
          <w:lang w:val="en-US" w:eastAsia="en-US"/>
        </w:rPr>
        <w:footnoteReference w:id="204"/>
      </w:r>
    </w:p>
    <w:p w:rsidR="00671317" w:rsidRDefault="00671317" w:rsidP="00671317">
      <w:pPr>
        <w:pStyle w:val="NormalIndent"/>
        <w:ind w:left="2127"/>
        <w:rPr>
          <w:rFonts w:eastAsiaTheme="minorHAnsi"/>
          <w:lang w:val="en-US" w:eastAsia="en-US"/>
        </w:rPr>
      </w:pPr>
      <w:r>
        <w:rPr>
          <w:rFonts w:eastAsiaTheme="minorHAnsi"/>
          <w:lang w:val="en-US" w:eastAsia="en-US"/>
        </w:rPr>
        <w:lastRenderedPageBreak/>
        <w:t xml:space="preserve">Furthermore, secondary source materials have indicated that, in practice, this power generally extends to </w:t>
      </w:r>
      <w:r w:rsidR="0006021E">
        <w:rPr>
          <w:rFonts w:eastAsiaTheme="minorHAnsi"/>
          <w:lang w:val="en-US" w:eastAsia="en-US"/>
        </w:rPr>
        <w:t xml:space="preserve">LGUs </w:t>
      </w:r>
      <w:r>
        <w:rPr>
          <w:rFonts w:eastAsiaTheme="minorHAnsi"/>
          <w:lang w:val="en-US" w:eastAsia="en-US"/>
        </w:rPr>
        <w:t>identifying lands that are already public and allocating them as disaster relief locations.</w:t>
      </w:r>
      <w:r>
        <w:rPr>
          <w:rStyle w:val="FootnoteReference"/>
          <w:rFonts w:eastAsiaTheme="minorHAnsi"/>
          <w:lang w:val="en-US" w:eastAsia="en-US"/>
        </w:rPr>
        <w:footnoteReference w:id="205"/>
      </w:r>
      <w:r>
        <w:rPr>
          <w:rFonts w:eastAsiaTheme="minorHAnsi"/>
          <w:lang w:val="en-US" w:eastAsia="en-US"/>
        </w:rPr>
        <w:t xml:space="preserve"> </w:t>
      </w:r>
    </w:p>
    <w:p w:rsidR="00671317" w:rsidRDefault="00671317" w:rsidP="006A3EBE">
      <w:pPr>
        <w:pStyle w:val="AllensHeading2"/>
        <w:rPr>
          <w:rFonts w:eastAsiaTheme="minorHAnsi"/>
          <w:lang w:val="en-US" w:eastAsia="en-US"/>
        </w:rPr>
      </w:pPr>
      <w:bookmarkStart w:id="77" w:name="Relocation"/>
      <w:bookmarkStart w:id="78" w:name="_Toc490144182"/>
      <w:bookmarkStart w:id="79" w:name="_Toc486677142"/>
      <w:bookmarkStart w:id="80" w:name="_Toc513116262"/>
      <w:bookmarkEnd w:id="77"/>
      <w:r>
        <w:rPr>
          <w:rFonts w:eastAsiaTheme="minorHAnsi"/>
          <w:lang w:val="en-US" w:eastAsia="en-US"/>
        </w:rPr>
        <w:t>Relocations</w:t>
      </w:r>
      <w:bookmarkEnd w:id="78"/>
      <w:bookmarkEnd w:id="79"/>
      <w:bookmarkEnd w:id="80"/>
    </w:p>
    <w:p w:rsidR="00671317" w:rsidRDefault="00671317" w:rsidP="006A3EBE">
      <w:pPr>
        <w:pStyle w:val="AllensHeading3"/>
        <w:rPr>
          <w:rFonts w:eastAsiaTheme="minorHAnsi"/>
          <w:b/>
          <w:lang w:val="en-US" w:eastAsia="en-US"/>
        </w:rPr>
      </w:pPr>
      <w:r>
        <w:rPr>
          <w:rFonts w:eastAsiaTheme="minorHAnsi"/>
          <w:b/>
          <w:lang w:val="en-US" w:eastAsia="en-US"/>
        </w:rPr>
        <w:t>Are there laws or regulations governing relocations?</w:t>
      </w:r>
    </w:p>
    <w:p w:rsidR="00671317" w:rsidRDefault="00671317" w:rsidP="00671317">
      <w:pPr>
        <w:pStyle w:val="NormalIndent"/>
        <w:ind w:left="1418"/>
        <w:rPr>
          <w:rFonts w:eastAsiaTheme="minorHAnsi"/>
          <w:lang w:val="en-US" w:eastAsia="en-US"/>
        </w:rPr>
      </w:pPr>
      <w:r>
        <w:rPr>
          <w:rFonts w:eastAsiaTheme="minorHAnsi"/>
          <w:lang w:val="en-US" w:eastAsia="en-US"/>
        </w:rPr>
        <w:t xml:space="preserve">There are protections in </w:t>
      </w:r>
      <w:r w:rsidR="001B5C4C">
        <w:rPr>
          <w:rFonts w:eastAsiaTheme="minorHAnsi"/>
          <w:lang w:val="en-US" w:eastAsia="en-US"/>
        </w:rPr>
        <w:t xml:space="preserve">Section 10 of </w:t>
      </w:r>
      <w:r>
        <w:rPr>
          <w:rFonts w:eastAsiaTheme="minorHAnsi"/>
          <w:lang w:val="en-US" w:eastAsia="en-US"/>
        </w:rPr>
        <w:t>Article XIII</w:t>
      </w:r>
      <w:r w:rsidR="001B5C4C">
        <w:rPr>
          <w:rFonts w:eastAsiaTheme="minorHAnsi"/>
          <w:lang w:val="en-US" w:eastAsia="en-US"/>
        </w:rPr>
        <w:t xml:space="preserve"> of the </w:t>
      </w:r>
      <w:r>
        <w:rPr>
          <w:rFonts w:eastAsiaTheme="minorHAnsi"/>
          <w:lang w:val="en-US" w:eastAsia="en-US"/>
        </w:rPr>
        <w:t>Constitution with respect to resettlement of urban or rural dwellers: no resettlement of urban or rural dwellers shall be undertaken without adequate consultation with them and the communities where they are to be relocated.</w:t>
      </w:r>
    </w:p>
    <w:p w:rsidR="00671317" w:rsidRPr="00D6227F" w:rsidRDefault="00671317" w:rsidP="00671317">
      <w:pPr>
        <w:pStyle w:val="NormalIndent"/>
        <w:ind w:left="1418" w:firstLine="11"/>
        <w:rPr>
          <w:rFonts w:eastAsiaTheme="minorHAnsi"/>
          <w:lang w:val="en-US" w:eastAsia="en-US"/>
        </w:rPr>
      </w:pPr>
      <w:r>
        <w:rPr>
          <w:rFonts w:eastAsiaTheme="minorHAnsi"/>
          <w:lang w:val="en-US" w:eastAsia="en-US"/>
        </w:rPr>
        <w:t>Furthermore, there are numerous requirements with respect to the nature of resettlement locations an</w:t>
      </w:r>
      <w:r w:rsidRPr="00D6227F">
        <w:rPr>
          <w:rFonts w:eastAsiaTheme="minorHAnsi"/>
          <w:lang w:val="en-US" w:eastAsia="en-US"/>
        </w:rPr>
        <w:t xml:space="preserve">d the timing of resettlement where resettlement occurs under UDHA, as detailed in </w:t>
      </w:r>
      <w:hyperlink w:anchor="Section4iaii" w:history="1">
        <w:r w:rsidRPr="00D6227F">
          <w:rPr>
            <w:rStyle w:val="Hyperlink"/>
            <w:rFonts w:eastAsiaTheme="minorHAnsi"/>
            <w:color w:val="auto"/>
            <w:u w:val="none"/>
            <w:lang w:val="en-US" w:eastAsia="en-US"/>
          </w:rPr>
          <w:t>section 4.1(a</w:t>
        </w:r>
        <w:proofErr w:type="gramStart"/>
        <w:r w:rsidRPr="00D6227F">
          <w:rPr>
            <w:rStyle w:val="Hyperlink"/>
            <w:rFonts w:eastAsiaTheme="minorHAnsi"/>
            <w:color w:val="auto"/>
            <w:u w:val="none"/>
            <w:lang w:val="en-US" w:eastAsia="en-US"/>
          </w:rPr>
          <w:t>)(</w:t>
        </w:r>
        <w:proofErr w:type="gramEnd"/>
        <w:r w:rsidRPr="00D6227F">
          <w:rPr>
            <w:rStyle w:val="Hyperlink"/>
            <w:rFonts w:eastAsiaTheme="minorHAnsi"/>
            <w:color w:val="auto"/>
            <w:u w:val="none"/>
            <w:lang w:val="en-US" w:eastAsia="en-US"/>
          </w:rPr>
          <w:t xml:space="preserve">ii) above. </w:t>
        </w:r>
      </w:hyperlink>
    </w:p>
    <w:p w:rsidR="00671317" w:rsidRPr="00D6227F" w:rsidRDefault="00671317" w:rsidP="00671317">
      <w:pPr>
        <w:pStyle w:val="NormalIndent"/>
        <w:ind w:left="1418"/>
        <w:rPr>
          <w:rFonts w:eastAsiaTheme="minorHAnsi"/>
          <w:lang w:val="en-US" w:eastAsia="en-US"/>
        </w:rPr>
      </w:pPr>
      <w:r w:rsidRPr="00D6227F">
        <w:rPr>
          <w:rFonts w:eastAsiaTheme="minorHAnsi"/>
          <w:lang w:val="en-US" w:eastAsia="en-US"/>
        </w:rPr>
        <w:t xml:space="preserve">In addition to this, IPRA creates specific rights where relocations occur under that Act, as detailed in </w:t>
      </w:r>
      <w:hyperlink w:anchor="Section42aiiiIRPA" w:history="1">
        <w:r w:rsidRPr="00D6227F">
          <w:rPr>
            <w:rStyle w:val="Hyperlink"/>
            <w:rFonts w:eastAsiaTheme="minorHAnsi"/>
            <w:color w:val="auto"/>
            <w:u w:val="none"/>
            <w:lang w:val="en-US" w:eastAsia="en-US"/>
          </w:rPr>
          <w:t>section 4.2(a</w:t>
        </w:r>
        <w:proofErr w:type="gramStart"/>
        <w:r w:rsidRPr="00D6227F">
          <w:rPr>
            <w:rStyle w:val="Hyperlink"/>
            <w:rFonts w:eastAsiaTheme="minorHAnsi"/>
            <w:color w:val="auto"/>
            <w:u w:val="none"/>
            <w:lang w:val="en-US" w:eastAsia="en-US"/>
          </w:rPr>
          <w:t>)(</w:t>
        </w:r>
        <w:proofErr w:type="gramEnd"/>
        <w:r w:rsidRPr="00D6227F">
          <w:rPr>
            <w:rStyle w:val="Hyperlink"/>
            <w:rFonts w:eastAsiaTheme="minorHAnsi"/>
            <w:color w:val="auto"/>
            <w:u w:val="none"/>
            <w:lang w:val="en-US" w:eastAsia="en-US"/>
          </w:rPr>
          <w:t>iii) above.</w:t>
        </w:r>
      </w:hyperlink>
    </w:p>
    <w:p w:rsidR="00671317" w:rsidRDefault="00671317" w:rsidP="006A3EBE">
      <w:pPr>
        <w:pStyle w:val="AllensHeading3"/>
        <w:rPr>
          <w:rFonts w:eastAsiaTheme="minorHAnsi"/>
          <w:b/>
          <w:lang w:val="en-US" w:eastAsia="en-US"/>
        </w:rPr>
      </w:pPr>
      <w:bookmarkStart w:id="81" w:name="Section43B"/>
      <w:bookmarkEnd w:id="81"/>
      <w:r>
        <w:rPr>
          <w:rFonts w:eastAsiaTheme="minorHAnsi"/>
          <w:b/>
          <w:lang w:val="en-US" w:eastAsia="en-US"/>
        </w:rPr>
        <w:t>Are there any other laws or regulations (</w:t>
      </w:r>
      <w:proofErr w:type="spellStart"/>
      <w:r>
        <w:rPr>
          <w:rFonts w:eastAsiaTheme="minorHAnsi"/>
          <w:b/>
          <w:lang w:val="en-US" w:eastAsia="en-US"/>
        </w:rPr>
        <w:t>ie</w:t>
      </w:r>
      <w:proofErr w:type="spellEnd"/>
      <w:r>
        <w:rPr>
          <w:rFonts w:eastAsiaTheme="minorHAnsi"/>
          <w:b/>
          <w:lang w:val="en-US" w:eastAsia="en-US"/>
        </w:rPr>
        <w:t>, human rights instruments) that are applicable to relocations?</w:t>
      </w:r>
    </w:p>
    <w:p w:rsidR="00671317" w:rsidRDefault="00671317" w:rsidP="00671317">
      <w:pPr>
        <w:pStyle w:val="NormalIndent"/>
        <w:ind w:left="1418"/>
        <w:rPr>
          <w:rFonts w:eastAsiaTheme="minorHAnsi"/>
          <w:lang w:val="en-US" w:eastAsia="en-US"/>
        </w:rPr>
      </w:pPr>
      <w:r>
        <w:rPr>
          <w:rFonts w:eastAsiaTheme="minorHAnsi"/>
          <w:lang w:val="en-US" w:eastAsia="en-US"/>
        </w:rPr>
        <w:t xml:space="preserve">We have identified no other domestic laws or regulations applicable to relocations in the Philippines. We note that the most recent version of the draft 'Rights </w:t>
      </w:r>
      <w:proofErr w:type="gramStart"/>
      <w:r>
        <w:rPr>
          <w:rFonts w:eastAsiaTheme="minorHAnsi"/>
          <w:lang w:val="en-US" w:eastAsia="en-US"/>
        </w:rPr>
        <w:t>Of</w:t>
      </w:r>
      <w:proofErr w:type="gramEnd"/>
      <w:r>
        <w:rPr>
          <w:rFonts w:eastAsiaTheme="minorHAnsi"/>
          <w:lang w:val="en-US" w:eastAsia="en-US"/>
        </w:rPr>
        <w:t xml:space="preserve"> Internally Displaced Persons Act' has been under negotiation for more than a decade, and is currently with the Senate Committee, who is responsible for enacting it, should it choose to approve it.</w:t>
      </w:r>
      <w:r>
        <w:rPr>
          <w:rStyle w:val="FootnoteReference"/>
          <w:rFonts w:eastAsiaTheme="minorHAnsi"/>
          <w:lang w:val="en-US" w:eastAsia="en-US"/>
        </w:rPr>
        <w:footnoteReference w:id="206"/>
      </w:r>
      <w:r>
        <w:rPr>
          <w:rFonts w:eastAsiaTheme="minorHAnsi"/>
          <w:lang w:val="en-US" w:eastAsia="en-US"/>
        </w:rPr>
        <w:t xml:space="preserve"> However, there is no indication </w:t>
      </w:r>
      <w:r w:rsidR="00776668">
        <w:rPr>
          <w:rFonts w:eastAsiaTheme="minorHAnsi"/>
          <w:lang w:val="en-US" w:eastAsia="en-US"/>
        </w:rPr>
        <w:t xml:space="preserve">from </w:t>
      </w:r>
      <w:r>
        <w:rPr>
          <w:rFonts w:eastAsiaTheme="minorHAnsi"/>
          <w:lang w:val="en-US" w:eastAsia="en-US"/>
        </w:rPr>
        <w:t>publicly available resources that this legislation will be enacted any time soon.</w:t>
      </w:r>
    </w:p>
    <w:p w:rsidR="00671317" w:rsidRDefault="00671317" w:rsidP="00671317">
      <w:pPr>
        <w:pStyle w:val="NormalIndent"/>
        <w:ind w:left="1418"/>
        <w:rPr>
          <w:rFonts w:eastAsiaTheme="minorHAnsi"/>
          <w:lang w:val="en-US" w:eastAsia="en-US"/>
        </w:rPr>
      </w:pPr>
      <w:r>
        <w:rPr>
          <w:rFonts w:eastAsiaTheme="minorHAnsi"/>
          <w:lang w:val="en-US" w:eastAsia="en-US"/>
        </w:rPr>
        <w:t xml:space="preserve">Notwithstanding the absence of domestic human rights instruments applicable to relocations, the Philippines </w:t>
      </w:r>
      <w:proofErr w:type="gramStart"/>
      <w:r>
        <w:rPr>
          <w:rFonts w:eastAsiaTheme="minorHAnsi"/>
          <w:lang w:val="en-US" w:eastAsia="en-US"/>
        </w:rPr>
        <w:t>is</w:t>
      </w:r>
      <w:proofErr w:type="gramEnd"/>
      <w:r>
        <w:rPr>
          <w:rFonts w:eastAsiaTheme="minorHAnsi"/>
          <w:lang w:val="en-US" w:eastAsia="en-US"/>
        </w:rPr>
        <w:t xml:space="preserve"> a State Party to </w:t>
      </w:r>
      <w:r w:rsidR="00776668">
        <w:rPr>
          <w:rFonts w:eastAsiaTheme="minorHAnsi"/>
          <w:lang w:val="en-US" w:eastAsia="en-US"/>
        </w:rPr>
        <w:t xml:space="preserve">a number of </w:t>
      </w:r>
      <w:r>
        <w:rPr>
          <w:rFonts w:eastAsiaTheme="minorHAnsi"/>
          <w:lang w:val="en-US" w:eastAsia="en-US"/>
        </w:rPr>
        <w:t xml:space="preserve">international human rights instruments. Relevantly in the case of relocation rights, the Philippines is a State Party to the </w:t>
      </w:r>
      <w:r w:rsidRPr="00B8541C">
        <w:rPr>
          <w:rFonts w:eastAsiaTheme="minorHAnsi"/>
          <w:i/>
          <w:lang w:val="en-US" w:eastAsia="en-US"/>
        </w:rPr>
        <w:t>International Covenant on Economic, Social and Cultural Rights</w:t>
      </w:r>
      <w:r>
        <w:rPr>
          <w:rFonts w:eastAsiaTheme="minorHAnsi"/>
          <w:lang w:val="en-US" w:eastAsia="en-US"/>
        </w:rPr>
        <w:t xml:space="preserve"> (</w:t>
      </w:r>
      <w:r>
        <w:rPr>
          <w:rFonts w:eastAsiaTheme="minorHAnsi"/>
          <w:b/>
          <w:i/>
          <w:lang w:val="en-US" w:eastAsia="en-US"/>
        </w:rPr>
        <w:t>ICESCR</w:t>
      </w:r>
      <w:r>
        <w:rPr>
          <w:rFonts w:eastAsiaTheme="minorHAnsi"/>
          <w:lang w:val="en-US" w:eastAsia="en-US"/>
        </w:rPr>
        <w:t>) and therefore, pursuant to Article 11(1), is obliged to respect, protect and fulfill</w:t>
      </w:r>
      <w:r w:rsidR="0056456D">
        <w:rPr>
          <w:rFonts w:eastAsiaTheme="minorHAnsi"/>
          <w:lang w:val="en-US" w:eastAsia="en-US"/>
        </w:rPr>
        <w:t xml:space="preserve"> the right to adequate housing</w:t>
      </w:r>
      <w:r>
        <w:rPr>
          <w:rFonts w:eastAsiaTheme="minorHAnsi"/>
          <w:lang w:val="en-US" w:eastAsia="en-US"/>
        </w:rPr>
        <w:t>. This should, as a matter of international law, afford protections to relocated persons.</w:t>
      </w:r>
    </w:p>
    <w:p w:rsidR="00776668" w:rsidRDefault="00671317" w:rsidP="00671317">
      <w:pPr>
        <w:pStyle w:val="NormalIndent"/>
        <w:ind w:left="1418"/>
        <w:rPr>
          <w:rFonts w:eastAsiaTheme="minorHAnsi"/>
          <w:lang w:val="en-US" w:eastAsia="en-US"/>
        </w:rPr>
      </w:pPr>
      <w:r>
        <w:rPr>
          <w:rFonts w:eastAsiaTheme="minorHAnsi"/>
          <w:lang w:val="en-US" w:eastAsia="en-US"/>
        </w:rPr>
        <w:t>Despite this,</w:t>
      </w:r>
      <w:r w:rsidR="0056456D">
        <w:rPr>
          <w:rFonts w:eastAsiaTheme="minorHAnsi"/>
          <w:lang w:val="en-US" w:eastAsia="en-US"/>
        </w:rPr>
        <w:t xml:space="preserve"> as a matter of practice,</w:t>
      </w:r>
      <w:r>
        <w:rPr>
          <w:rFonts w:eastAsiaTheme="minorHAnsi"/>
          <w:lang w:val="en-US" w:eastAsia="en-US"/>
        </w:rPr>
        <w:t xml:space="preserve"> the protections afforded by the ICESCR in the Philippines</w:t>
      </w:r>
      <w:r w:rsidR="0056456D">
        <w:rPr>
          <w:rFonts w:eastAsiaTheme="minorHAnsi"/>
          <w:lang w:val="en-US" w:eastAsia="en-US"/>
        </w:rPr>
        <w:t xml:space="preserve"> </w:t>
      </w:r>
      <w:r>
        <w:rPr>
          <w:rFonts w:eastAsiaTheme="minorHAnsi"/>
          <w:lang w:val="en-US" w:eastAsia="en-US"/>
        </w:rPr>
        <w:t xml:space="preserve">are </w:t>
      </w:r>
      <w:r w:rsidR="00776668">
        <w:rPr>
          <w:rFonts w:eastAsiaTheme="minorHAnsi"/>
          <w:lang w:val="en-US" w:eastAsia="en-US"/>
        </w:rPr>
        <w:t>limited</w:t>
      </w:r>
      <w:r>
        <w:rPr>
          <w:rFonts w:eastAsiaTheme="minorHAnsi"/>
          <w:lang w:val="en-US" w:eastAsia="en-US"/>
        </w:rPr>
        <w:t>. On 26 October 2016, the UN Committee on Economic, Social and Cultural Rights released its 'Concluding observations on the combined fifth and sixth periodic reports of the Philippines.' It noted that</w:t>
      </w:r>
      <w:r w:rsidR="00776668">
        <w:rPr>
          <w:rFonts w:eastAsiaTheme="minorHAnsi"/>
          <w:lang w:val="en-US" w:eastAsia="en-US"/>
        </w:rPr>
        <w:t>:</w:t>
      </w:r>
    </w:p>
    <w:p w:rsidR="00671317" w:rsidRDefault="00671317" w:rsidP="00776668">
      <w:pPr>
        <w:pStyle w:val="NormalIndent"/>
        <w:ind w:left="2160"/>
        <w:rPr>
          <w:rFonts w:eastAsiaTheme="minorHAnsi"/>
          <w:lang w:val="en-US" w:eastAsia="en-US"/>
        </w:rPr>
      </w:pPr>
      <w:r w:rsidRPr="00776668">
        <w:rPr>
          <w:rFonts w:eastAsiaTheme="minorHAnsi"/>
          <w:sz w:val="18"/>
          <w:lang w:val="en-US" w:eastAsia="en-US"/>
        </w:rPr>
        <w:t>it is concerned at the substandard living conditions in collective bunkhouses for persons who are internally displaced as a result of natural disasters and armed conflict…In addition the Committee is concerned at the inadequate measures taken to provide appropriate relocation sites…who currently have to live in substandard living conditions without infrastructure and basic amenities, health care, education or transport facilities.</w:t>
      </w:r>
      <w:r>
        <w:rPr>
          <w:rStyle w:val="FootnoteReference"/>
          <w:rFonts w:eastAsiaTheme="minorHAnsi"/>
          <w:lang w:val="en-US" w:eastAsia="en-US"/>
        </w:rPr>
        <w:footnoteReference w:id="207"/>
      </w:r>
    </w:p>
    <w:p w:rsidR="00671317" w:rsidRDefault="00671317" w:rsidP="00671317">
      <w:pPr>
        <w:pStyle w:val="NormalIndent"/>
        <w:ind w:left="1418"/>
        <w:rPr>
          <w:rFonts w:eastAsiaTheme="minorHAnsi"/>
          <w:lang w:val="en-US" w:eastAsia="en-US"/>
        </w:rPr>
      </w:pPr>
      <w:r>
        <w:rPr>
          <w:rFonts w:eastAsiaTheme="minorHAnsi"/>
          <w:lang w:val="en-US" w:eastAsia="en-US"/>
        </w:rPr>
        <w:t>Further, recourse under the ICESCR is not readily available to persons who are relocated</w:t>
      </w:r>
      <w:r w:rsidR="008E4C82">
        <w:rPr>
          <w:rFonts w:eastAsiaTheme="minorHAnsi"/>
          <w:lang w:val="en-US" w:eastAsia="en-US"/>
        </w:rPr>
        <w:t xml:space="preserve"> (or otherwise adversely affected by non-adherence by the State Party)</w:t>
      </w:r>
      <w:r>
        <w:rPr>
          <w:rFonts w:eastAsiaTheme="minorHAnsi"/>
          <w:lang w:val="en-US" w:eastAsia="en-US"/>
        </w:rPr>
        <w:t xml:space="preserve">, as the Philippines </w:t>
      </w:r>
      <w:r>
        <w:rPr>
          <w:rFonts w:eastAsiaTheme="minorHAnsi"/>
          <w:lang w:val="en-US" w:eastAsia="en-US"/>
        </w:rPr>
        <w:lastRenderedPageBreak/>
        <w:t>has not accepted the individual complaints procedures under the Optional protocol to the International Covenant on Economic, Social and Cultural Rights.</w:t>
      </w:r>
      <w:r>
        <w:rPr>
          <w:rStyle w:val="FootnoteReference"/>
          <w:rFonts w:eastAsiaTheme="minorHAnsi"/>
          <w:lang w:val="en-US" w:eastAsia="en-US"/>
        </w:rPr>
        <w:footnoteReference w:id="208"/>
      </w:r>
      <w:r>
        <w:rPr>
          <w:rFonts w:eastAsiaTheme="minorHAnsi"/>
          <w:lang w:val="en-US" w:eastAsia="en-US"/>
        </w:rPr>
        <w:t xml:space="preserve"> </w:t>
      </w:r>
    </w:p>
    <w:p w:rsidR="00671317" w:rsidRDefault="00671317" w:rsidP="006A3EBE">
      <w:pPr>
        <w:pStyle w:val="AllensHeading2"/>
        <w:rPr>
          <w:rFonts w:eastAsiaTheme="minorHAnsi"/>
          <w:lang w:val="en-US" w:eastAsia="en-US"/>
        </w:rPr>
      </w:pPr>
      <w:bookmarkStart w:id="82" w:name="Section44a"/>
      <w:bookmarkStart w:id="83" w:name="_Toc490144183"/>
      <w:bookmarkStart w:id="84" w:name="_Toc486677143"/>
      <w:bookmarkStart w:id="85" w:name="_Toc513116263"/>
      <w:bookmarkEnd w:id="82"/>
      <w:r>
        <w:rPr>
          <w:rFonts w:eastAsiaTheme="minorHAnsi"/>
          <w:lang w:val="en-US" w:eastAsia="en-US"/>
        </w:rPr>
        <w:t>Compensation for expropriation and relocation</w:t>
      </w:r>
      <w:bookmarkEnd w:id="83"/>
      <w:bookmarkEnd w:id="84"/>
      <w:bookmarkEnd w:id="85"/>
    </w:p>
    <w:p w:rsidR="00671317" w:rsidRDefault="00671317" w:rsidP="006A3EBE">
      <w:pPr>
        <w:pStyle w:val="AllensHeading3"/>
        <w:rPr>
          <w:rFonts w:eastAsiaTheme="minorHAnsi"/>
          <w:b/>
          <w:lang w:val="en-US" w:eastAsia="en-US"/>
        </w:rPr>
      </w:pPr>
      <w:r>
        <w:rPr>
          <w:rFonts w:eastAsiaTheme="minorHAnsi"/>
          <w:b/>
          <w:lang w:val="en-US" w:eastAsia="en-US"/>
        </w:rPr>
        <w:t>Are there laws or regulations providing compensation for people who are relocated, forcibly evicted, or whose land is expropriated?</w:t>
      </w:r>
    </w:p>
    <w:p w:rsidR="00671317" w:rsidRPr="006A3EBE" w:rsidRDefault="00671317" w:rsidP="006A3EBE">
      <w:pPr>
        <w:pStyle w:val="AllensHeading4"/>
        <w:rPr>
          <w:rFonts w:eastAsiaTheme="minorHAnsi"/>
          <w:b/>
          <w:lang w:val="en-US" w:eastAsia="en-US"/>
        </w:rPr>
      </w:pPr>
      <w:r w:rsidRPr="006A3EBE">
        <w:rPr>
          <w:rFonts w:eastAsiaTheme="minorHAnsi"/>
          <w:b/>
          <w:lang w:val="en-US" w:eastAsia="en-US"/>
        </w:rPr>
        <w:t>Compensation for Forced Eviction</w:t>
      </w:r>
    </w:p>
    <w:p w:rsidR="00671317" w:rsidRDefault="00776668" w:rsidP="00671317">
      <w:pPr>
        <w:pStyle w:val="AllensHeading4"/>
        <w:numPr>
          <w:ilvl w:val="0"/>
          <w:numId w:val="0"/>
        </w:numPr>
        <w:tabs>
          <w:tab w:val="left" w:pos="720"/>
        </w:tabs>
        <w:ind w:left="1418"/>
        <w:rPr>
          <w:rFonts w:eastAsiaTheme="minorHAnsi"/>
          <w:lang w:val="en-US" w:eastAsia="en-US"/>
        </w:rPr>
      </w:pPr>
      <w:r>
        <w:rPr>
          <w:rFonts w:eastAsiaTheme="minorHAnsi"/>
          <w:lang w:val="en-US" w:eastAsia="en-US"/>
        </w:rPr>
        <w:t>No compensation is payable w</w:t>
      </w:r>
      <w:r w:rsidR="00671317">
        <w:rPr>
          <w:rFonts w:eastAsiaTheme="minorHAnsi"/>
          <w:lang w:val="en-US" w:eastAsia="en-US"/>
        </w:rPr>
        <w:t>here the government has forcibly evicted:</w:t>
      </w:r>
    </w:p>
    <w:p w:rsidR="00671317" w:rsidRDefault="00671317" w:rsidP="00671317">
      <w:pPr>
        <w:pStyle w:val="Bullet3"/>
        <w:numPr>
          <w:ilvl w:val="0"/>
          <w:numId w:val="34"/>
        </w:numPr>
        <w:rPr>
          <w:rFonts w:eastAsiaTheme="minorHAnsi"/>
          <w:lang w:val="en-US" w:eastAsia="en-US"/>
        </w:rPr>
      </w:pPr>
      <w:r>
        <w:rPr>
          <w:rFonts w:eastAsiaTheme="minorHAnsi"/>
          <w:lang w:val="en-US" w:eastAsia="en-US"/>
        </w:rPr>
        <w:t>professional squatters or squatting syndicates; or</w:t>
      </w:r>
    </w:p>
    <w:p w:rsidR="00671317" w:rsidRDefault="00671317" w:rsidP="00671317">
      <w:pPr>
        <w:pStyle w:val="Bullet3"/>
        <w:numPr>
          <w:ilvl w:val="0"/>
          <w:numId w:val="34"/>
        </w:numPr>
        <w:rPr>
          <w:rFonts w:eastAsiaTheme="minorHAnsi"/>
          <w:lang w:val="en-US" w:eastAsia="en-US"/>
        </w:rPr>
      </w:pPr>
      <w:proofErr w:type="gramStart"/>
      <w:r>
        <w:rPr>
          <w:rFonts w:eastAsiaTheme="minorHAnsi"/>
          <w:lang w:val="en-US" w:eastAsia="en-US"/>
        </w:rPr>
        <w:t>other</w:t>
      </w:r>
      <w:proofErr w:type="gramEnd"/>
      <w:r>
        <w:rPr>
          <w:rFonts w:eastAsiaTheme="minorHAnsi"/>
          <w:lang w:val="en-US" w:eastAsia="en-US"/>
        </w:rPr>
        <w:t xml:space="preserve"> persons for the pres</w:t>
      </w:r>
      <w:r w:rsidR="00776668">
        <w:rPr>
          <w:rFonts w:eastAsiaTheme="minorHAnsi"/>
          <w:lang w:val="en-US" w:eastAsia="en-US"/>
        </w:rPr>
        <w:t>cribed purposes set out in UDHA.</w:t>
      </w:r>
    </w:p>
    <w:p w:rsidR="00671317" w:rsidRPr="00C75B3F" w:rsidRDefault="00671317" w:rsidP="00671317">
      <w:pPr>
        <w:pStyle w:val="Bullet3"/>
        <w:numPr>
          <w:ilvl w:val="0"/>
          <w:numId w:val="0"/>
        </w:numPr>
        <w:tabs>
          <w:tab w:val="left" w:pos="720"/>
        </w:tabs>
        <w:ind w:left="1418"/>
        <w:rPr>
          <w:rFonts w:eastAsiaTheme="minorHAnsi"/>
          <w:lang w:val="en-US" w:eastAsia="en-US"/>
        </w:rPr>
      </w:pPr>
      <w:r>
        <w:rPr>
          <w:rFonts w:eastAsiaTheme="minorHAnsi"/>
          <w:lang w:val="en-US" w:eastAsia="en-US"/>
        </w:rPr>
        <w:t xml:space="preserve">However, note there are relocation requirements where the evictees are 'underprivileged and homeless,' discussed at </w:t>
      </w:r>
      <w:hyperlink w:anchor="Section41aiiA" w:history="1">
        <w:r w:rsidRPr="00C75B3F">
          <w:rPr>
            <w:rStyle w:val="Hyperlink"/>
            <w:rFonts w:eastAsiaTheme="minorHAnsi"/>
            <w:color w:val="auto"/>
            <w:u w:val="none"/>
            <w:lang w:val="en-US" w:eastAsia="en-US"/>
          </w:rPr>
          <w:t>section 4.1(a</w:t>
        </w:r>
        <w:proofErr w:type="gramStart"/>
        <w:r w:rsidRPr="00C75B3F">
          <w:rPr>
            <w:rStyle w:val="Hyperlink"/>
            <w:rFonts w:eastAsiaTheme="minorHAnsi"/>
            <w:color w:val="auto"/>
            <w:u w:val="none"/>
            <w:lang w:val="en-US" w:eastAsia="en-US"/>
          </w:rPr>
          <w:t>)(</w:t>
        </w:r>
        <w:proofErr w:type="gramEnd"/>
        <w:r w:rsidRPr="00C75B3F">
          <w:rPr>
            <w:rStyle w:val="Hyperlink"/>
            <w:rFonts w:eastAsiaTheme="minorHAnsi"/>
            <w:color w:val="auto"/>
            <w:u w:val="none"/>
            <w:lang w:val="en-US" w:eastAsia="en-US"/>
          </w:rPr>
          <w:t>ii)(A) above.</w:t>
        </w:r>
      </w:hyperlink>
    </w:p>
    <w:p w:rsidR="00671317" w:rsidRPr="00C75B3F" w:rsidRDefault="00671317" w:rsidP="006A3EBE">
      <w:pPr>
        <w:pStyle w:val="AllensHeading4"/>
        <w:rPr>
          <w:rFonts w:eastAsiaTheme="minorHAnsi"/>
          <w:b/>
          <w:lang w:val="en-US" w:eastAsia="en-US"/>
        </w:rPr>
      </w:pPr>
      <w:r w:rsidRPr="00C75B3F">
        <w:rPr>
          <w:rFonts w:eastAsiaTheme="minorHAnsi"/>
          <w:b/>
          <w:lang w:val="en-US" w:eastAsia="en-US"/>
        </w:rPr>
        <w:t>Compensation for Relocation</w:t>
      </w:r>
    </w:p>
    <w:p w:rsidR="00671317" w:rsidRPr="00C75B3F" w:rsidRDefault="00671317" w:rsidP="00671317">
      <w:pPr>
        <w:pStyle w:val="AllensHeading4"/>
        <w:numPr>
          <w:ilvl w:val="0"/>
          <w:numId w:val="0"/>
        </w:numPr>
        <w:tabs>
          <w:tab w:val="left" w:pos="720"/>
        </w:tabs>
        <w:ind w:left="1418"/>
        <w:rPr>
          <w:rFonts w:eastAsiaTheme="minorHAnsi"/>
          <w:lang w:val="en-US" w:eastAsia="en-US"/>
        </w:rPr>
      </w:pPr>
      <w:r w:rsidRPr="00C75B3F">
        <w:rPr>
          <w:rFonts w:eastAsiaTheme="minorHAnsi"/>
          <w:lang w:val="en-US" w:eastAsia="en-US"/>
        </w:rPr>
        <w:t xml:space="preserve">The only laws that provide for compensation for relocation that we have identified are under IPRA, discussed at </w:t>
      </w:r>
      <w:r w:rsidR="00403015" w:rsidRPr="003049FC">
        <w:rPr>
          <w:rFonts w:eastAsiaTheme="minorHAnsi"/>
          <w:lang w:val="en-US" w:eastAsia="en-US"/>
        </w:rPr>
        <w:t xml:space="preserve">section </w:t>
      </w:r>
      <w:hyperlink w:anchor="Section42aiiiIRPA" w:history="1">
        <w:r w:rsidR="00403015" w:rsidRPr="003049FC">
          <w:rPr>
            <w:rStyle w:val="Hyperlink"/>
            <w:rFonts w:eastAsiaTheme="minorHAnsi"/>
            <w:color w:val="auto"/>
            <w:u w:val="none"/>
            <w:lang w:val="en-US" w:eastAsia="en-US"/>
          </w:rPr>
          <w:t>4.1</w:t>
        </w:r>
        <w:r w:rsidRPr="003049FC">
          <w:rPr>
            <w:rStyle w:val="Hyperlink"/>
            <w:rFonts w:eastAsiaTheme="minorHAnsi"/>
            <w:color w:val="auto"/>
            <w:u w:val="none"/>
            <w:lang w:val="en-US" w:eastAsia="en-US"/>
          </w:rPr>
          <w:t>(a</w:t>
        </w:r>
        <w:proofErr w:type="gramStart"/>
        <w:r w:rsidRPr="003049FC">
          <w:rPr>
            <w:rStyle w:val="Hyperlink"/>
            <w:rFonts w:eastAsiaTheme="minorHAnsi"/>
            <w:color w:val="auto"/>
            <w:u w:val="none"/>
            <w:lang w:val="en-US" w:eastAsia="en-US"/>
          </w:rPr>
          <w:t>)(</w:t>
        </w:r>
        <w:proofErr w:type="gramEnd"/>
        <w:r w:rsidRPr="003049FC">
          <w:rPr>
            <w:rStyle w:val="Hyperlink"/>
            <w:rFonts w:eastAsiaTheme="minorHAnsi"/>
            <w:color w:val="auto"/>
            <w:u w:val="none"/>
            <w:lang w:val="en-US" w:eastAsia="en-US"/>
          </w:rPr>
          <w:t>iii)</w:t>
        </w:r>
      </w:hyperlink>
      <w:r w:rsidRPr="003049FC">
        <w:rPr>
          <w:rFonts w:eastAsiaTheme="minorHAnsi"/>
          <w:lang w:val="en-US" w:eastAsia="en-US"/>
        </w:rPr>
        <w:t xml:space="preserve"> above</w:t>
      </w:r>
      <w:r w:rsidRPr="00403015">
        <w:rPr>
          <w:rFonts w:eastAsiaTheme="minorHAnsi"/>
          <w:lang w:val="en-US" w:eastAsia="en-US"/>
        </w:rPr>
        <w:t>.</w:t>
      </w:r>
    </w:p>
    <w:p w:rsidR="00671317" w:rsidRPr="00302800" w:rsidRDefault="00671317" w:rsidP="006A3EBE">
      <w:pPr>
        <w:pStyle w:val="AllensHeading4"/>
        <w:rPr>
          <w:rFonts w:eastAsiaTheme="minorHAnsi"/>
          <w:b/>
          <w:lang w:val="en-US" w:eastAsia="en-US"/>
        </w:rPr>
      </w:pPr>
      <w:r w:rsidRPr="006A3EBE">
        <w:rPr>
          <w:rFonts w:eastAsiaTheme="minorHAnsi"/>
          <w:b/>
          <w:lang w:val="en-US" w:eastAsia="en-US"/>
        </w:rPr>
        <w:t>Comp</w:t>
      </w:r>
      <w:r w:rsidRPr="00302800">
        <w:rPr>
          <w:rFonts w:eastAsiaTheme="minorHAnsi"/>
          <w:b/>
          <w:lang w:val="en-US" w:eastAsia="en-US"/>
        </w:rPr>
        <w:t>ensation for Expropriation by State</w:t>
      </w:r>
    </w:p>
    <w:p w:rsidR="00671317" w:rsidRDefault="00671317" w:rsidP="00671317">
      <w:pPr>
        <w:pStyle w:val="NormalIndent"/>
        <w:ind w:left="1418"/>
        <w:rPr>
          <w:rFonts w:eastAsiaTheme="minorHAnsi"/>
          <w:lang w:val="en-US" w:eastAsia="en-US"/>
        </w:rPr>
      </w:pPr>
      <w:r w:rsidRPr="00302800">
        <w:rPr>
          <w:rFonts w:eastAsiaTheme="minorHAnsi"/>
          <w:lang w:val="en-US" w:eastAsia="en-US"/>
        </w:rPr>
        <w:t xml:space="preserve">As stated in </w:t>
      </w:r>
      <w:hyperlink w:anchor="Section41ai" w:history="1">
        <w:r w:rsidRPr="00302800">
          <w:rPr>
            <w:rStyle w:val="Hyperlink"/>
            <w:rFonts w:eastAsiaTheme="minorHAnsi"/>
            <w:color w:val="auto"/>
            <w:u w:val="none"/>
            <w:lang w:val="en-US" w:eastAsia="en-US"/>
          </w:rPr>
          <w:t>section 4.1(a</w:t>
        </w:r>
        <w:proofErr w:type="gramStart"/>
        <w:r w:rsidRPr="00302800">
          <w:rPr>
            <w:rStyle w:val="Hyperlink"/>
            <w:rFonts w:eastAsiaTheme="minorHAnsi"/>
            <w:color w:val="auto"/>
            <w:u w:val="none"/>
            <w:lang w:val="en-US" w:eastAsia="en-US"/>
          </w:rPr>
          <w:t>)(</w:t>
        </w:r>
        <w:proofErr w:type="spellStart"/>
        <w:proofErr w:type="gramEnd"/>
        <w:r w:rsidRPr="00302800">
          <w:rPr>
            <w:rStyle w:val="Hyperlink"/>
            <w:rFonts w:eastAsiaTheme="minorHAnsi"/>
            <w:color w:val="auto"/>
            <w:u w:val="none"/>
            <w:lang w:val="en-US" w:eastAsia="en-US"/>
          </w:rPr>
          <w:t>i</w:t>
        </w:r>
        <w:proofErr w:type="spellEnd"/>
        <w:r w:rsidRPr="00302800">
          <w:rPr>
            <w:rStyle w:val="Hyperlink"/>
            <w:rFonts w:eastAsiaTheme="minorHAnsi"/>
            <w:color w:val="auto"/>
            <w:u w:val="none"/>
            <w:lang w:val="en-US" w:eastAsia="en-US"/>
          </w:rPr>
          <w:t>) above</w:t>
        </w:r>
      </w:hyperlink>
      <w:r w:rsidRPr="00302800">
        <w:rPr>
          <w:rFonts w:eastAsiaTheme="minorHAnsi"/>
          <w:lang w:val="en-US" w:eastAsia="en-US"/>
        </w:rPr>
        <w:t xml:space="preserve">, </w:t>
      </w:r>
      <w:r w:rsidR="00EF128E" w:rsidRPr="00302800">
        <w:rPr>
          <w:rFonts w:eastAsiaTheme="minorHAnsi"/>
          <w:lang w:val="en-US" w:eastAsia="en-US"/>
        </w:rPr>
        <w:t>secti</w:t>
      </w:r>
      <w:r w:rsidR="00EF128E">
        <w:rPr>
          <w:rFonts w:eastAsiaTheme="minorHAnsi"/>
          <w:lang w:val="en-US" w:eastAsia="en-US"/>
        </w:rPr>
        <w:t xml:space="preserve">on </w:t>
      </w:r>
      <w:r>
        <w:rPr>
          <w:rFonts w:eastAsiaTheme="minorHAnsi"/>
          <w:lang w:val="en-US" w:eastAsia="en-US"/>
        </w:rPr>
        <w:t xml:space="preserve">9 of Article </w:t>
      </w:r>
      <w:r w:rsidR="00EF128E">
        <w:rPr>
          <w:rFonts w:eastAsiaTheme="minorHAnsi"/>
          <w:lang w:val="en-US" w:eastAsia="en-US"/>
        </w:rPr>
        <w:t>III</w:t>
      </w:r>
      <w:r>
        <w:rPr>
          <w:rFonts w:eastAsiaTheme="minorHAnsi"/>
          <w:lang w:val="en-US" w:eastAsia="en-US"/>
        </w:rPr>
        <w:t xml:space="preserve"> of the Constitution states that 'private property shall not be taken for public use without just compensation.' This right is further enshrined in Article 435 of the Civil Code. Further, as mentioned above, acquisitions made under IPRA and CARPER require the payment of just compensation.</w:t>
      </w:r>
    </w:p>
    <w:p w:rsidR="00671317" w:rsidRDefault="00671317" w:rsidP="00671317">
      <w:pPr>
        <w:pStyle w:val="NormalIndent"/>
        <w:ind w:left="1418"/>
        <w:rPr>
          <w:rFonts w:eastAsiaTheme="minorHAnsi"/>
          <w:lang w:val="en-US" w:eastAsia="en-US"/>
        </w:rPr>
      </w:pPr>
      <w:proofErr w:type="spellStart"/>
      <w:r>
        <w:rPr>
          <w:rFonts w:eastAsiaTheme="minorHAnsi"/>
          <w:lang w:val="en-US" w:eastAsia="en-US"/>
        </w:rPr>
        <w:t>Lazo</w:t>
      </w:r>
      <w:proofErr w:type="spellEnd"/>
      <w:r>
        <w:rPr>
          <w:rFonts w:eastAsiaTheme="minorHAnsi"/>
          <w:lang w:val="en-US" w:eastAsia="en-US"/>
        </w:rPr>
        <w:t xml:space="preserve"> explains that the term 'just compensation' in the Constitution refers to the 'market value' of the loss sustained, plus consequential damages, minus any consequential benefits.</w:t>
      </w:r>
      <w:r>
        <w:rPr>
          <w:rStyle w:val="FootnoteReference"/>
          <w:rFonts w:eastAsiaTheme="minorHAnsi"/>
          <w:lang w:val="en-US" w:eastAsia="en-US"/>
        </w:rPr>
        <w:footnoteReference w:id="209"/>
      </w:r>
      <w:r>
        <w:rPr>
          <w:rFonts w:eastAsiaTheme="minorHAnsi"/>
          <w:lang w:val="en-US" w:eastAsia="en-US"/>
        </w:rPr>
        <w:t xml:space="preserve"> Furthermore, just compensation includes any taxes and assessment paid by the owner with respect to the condemned property, interest and the value of crops.</w:t>
      </w:r>
      <w:r>
        <w:rPr>
          <w:rStyle w:val="FootnoteReference"/>
          <w:rFonts w:eastAsiaTheme="minorHAnsi"/>
          <w:lang w:val="en-US" w:eastAsia="en-US"/>
        </w:rPr>
        <w:footnoteReference w:id="210"/>
      </w:r>
      <w:r>
        <w:rPr>
          <w:rFonts w:eastAsiaTheme="minorHAnsi"/>
          <w:lang w:val="en-US" w:eastAsia="en-US"/>
        </w:rPr>
        <w:t xml:space="preserve"> Sentimental value is not included in just compensation.</w:t>
      </w:r>
      <w:r>
        <w:rPr>
          <w:rStyle w:val="FootnoteReference"/>
          <w:rFonts w:eastAsiaTheme="minorHAnsi"/>
          <w:lang w:val="en-US" w:eastAsia="en-US"/>
        </w:rPr>
        <w:footnoteReference w:id="211"/>
      </w:r>
    </w:p>
    <w:p w:rsidR="00671317" w:rsidRDefault="00671317" w:rsidP="00671317">
      <w:pPr>
        <w:pStyle w:val="NormalIndent"/>
        <w:ind w:left="1418"/>
        <w:rPr>
          <w:rFonts w:eastAsiaTheme="minorHAnsi"/>
          <w:lang w:val="en-US" w:eastAsia="en-US"/>
        </w:rPr>
      </w:pPr>
      <w:r>
        <w:rPr>
          <w:rFonts w:eastAsiaTheme="minorHAnsi"/>
          <w:lang w:val="en-US" w:eastAsia="en-US"/>
        </w:rPr>
        <w:t>However, Article 436 of the Civil Code appears to introduce a further requirement to access</w:t>
      </w:r>
      <w:r w:rsidR="00776668">
        <w:rPr>
          <w:rFonts w:eastAsiaTheme="minorHAnsi"/>
          <w:lang w:val="en-US" w:eastAsia="en-US"/>
        </w:rPr>
        <w:t>ing</w:t>
      </w:r>
      <w:r>
        <w:rPr>
          <w:rFonts w:eastAsiaTheme="minorHAnsi"/>
          <w:lang w:val="en-US" w:eastAsia="en-US"/>
        </w:rPr>
        <w:t xml:space="preserve"> just compensation. Article 436 provides that when property is condemned or seized by a competent authority in the interest of 'health, safety or security', the owner shall </w:t>
      </w:r>
      <w:r>
        <w:rPr>
          <w:rFonts w:eastAsiaTheme="minorHAnsi"/>
          <w:i/>
          <w:lang w:val="en-US" w:eastAsia="en-US"/>
        </w:rPr>
        <w:t xml:space="preserve">not </w:t>
      </w:r>
      <w:r>
        <w:rPr>
          <w:rFonts w:eastAsiaTheme="minorHAnsi"/>
          <w:lang w:val="en-US" w:eastAsia="en-US"/>
        </w:rPr>
        <w:t>be entitled to compensation unless he can show that such condemnation or seizure is unjustified. Therefore, in those circumstances, it would appear that it is far more difficult for an individual to recover compensation.</w:t>
      </w:r>
    </w:p>
    <w:p w:rsidR="00671317" w:rsidRDefault="00671317" w:rsidP="006A3EBE">
      <w:pPr>
        <w:pStyle w:val="AllensHeading3"/>
        <w:rPr>
          <w:rFonts w:eastAsiaTheme="minorHAnsi"/>
          <w:b/>
          <w:lang w:val="en-US" w:eastAsia="en-US"/>
        </w:rPr>
      </w:pPr>
      <w:r>
        <w:rPr>
          <w:rFonts w:eastAsiaTheme="minorHAnsi"/>
          <w:b/>
          <w:lang w:val="en-US" w:eastAsia="en-US"/>
        </w:rPr>
        <w:t>In practice, are these laws or regulations adhered to?</w:t>
      </w:r>
    </w:p>
    <w:p w:rsidR="00671317" w:rsidRDefault="00671317" w:rsidP="00671317">
      <w:pPr>
        <w:pStyle w:val="AllensHeading3"/>
        <w:numPr>
          <w:ilvl w:val="0"/>
          <w:numId w:val="0"/>
        </w:numPr>
        <w:tabs>
          <w:tab w:val="left" w:pos="720"/>
        </w:tabs>
        <w:ind w:left="1418"/>
        <w:rPr>
          <w:rFonts w:eastAsiaTheme="minorHAnsi"/>
          <w:lang w:val="en-US" w:eastAsia="en-US"/>
        </w:rPr>
      </w:pPr>
      <w:r>
        <w:rPr>
          <w:rFonts w:eastAsiaTheme="minorHAnsi"/>
          <w:lang w:val="en-US" w:eastAsia="en-US"/>
        </w:rPr>
        <w:t>In our efforts to ascertain whether these laws are adhered to, we reviewed secondary sources reporting on government expropriation in the Philippines.</w:t>
      </w:r>
      <w:r>
        <w:rPr>
          <w:rStyle w:val="FootnoteReference"/>
          <w:rFonts w:eastAsiaTheme="minorHAnsi"/>
          <w:lang w:val="en-US" w:eastAsia="en-US"/>
        </w:rPr>
        <w:footnoteReference w:id="212"/>
      </w:r>
      <w:r>
        <w:rPr>
          <w:rFonts w:eastAsiaTheme="minorHAnsi"/>
          <w:lang w:val="en-US" w:eastAsia="en-US"/>
        </w:rPr>
        <w:t xml:space="preserve"> From this review, we have observed that:</w:t>
      </w:r>
    </w:p>
    <w:p w:rsidR="00671317" w:rsidRDefault="00671317" w:rsidP="00671317">
      <w:pPr>
        <w:pStyle w:val="Bullet3"/>
        <w:numPr>
          <w:ilvl w:val="0"/>
          <w:numId w:val="34"/>
        </w:numPr>
        <w:rPr>
          <w:rFonts w:eastAsiaTheme="minorHAnsi"/>
          <w:b/>
          <w:i/>
          <w:lang w:val="en-US" w:eastAsia="en-US"/>
        </w:rPr>
      </w:pPr>
      <w:proofErr w:type="gramStart"/>
      <w:r>
        <w:rPr>
          <w:rFonts w:eastAsiaTheme="minorHAnsi"/>
          <w:lang w:val="en-US" w:eastAsia="en-US"/>
        </w:rPr>
        <w:t>given</w:t>
      </w:r>
      <w:proofErr w:type="gramEnd"/>
      <w:r>
        <w:rPr>
          <w:rFonts w:eastAsiaTheme="minorHAnsi"/>
          <w:lang w:val="en-US" w:eastAsia="en-US"/>
        </w:rPr>
        <w:t xml:space="preserve"> that the due process requirements require court involvement and often independent consultants, it appears that the legal obligations to pay just </w:t>
      </w:r>
      <w:r>
        <w:rPr>
          <w:rFonts w:eastAsiaTheme="minorHAnsi"/>
          <w:lang w:val="en-US" w:eastAsia="en-US"/>
        </w:rPr>
        <w:lastRenderedPageBreak/>
        <w:t>compensation are usually met. However, quantum may be disputed between the parties;</w:t>
      </w:r>
      <w:r w:rsidR="00BB4458">
        <w:rPr>
          <w:rFonts w:eastAsiaTheme="minorHAnsi"/>
          <w:lang w:val="en-US" w:eastAsia="en-US"/>
        </w:rPr>
        <w:t xml:space="preserve"> and</w:t>
      </w:r>
    </w:p>
    <w:p w:rsidR="00671317" w:rsidRDefault="00671317" w:rsidP="00671317">
      <w:pPr>
        <w:pStyle w:val="Bullet3"/>
        <w:numPr>
          <w:ilvl w:val="0"/>
          <w:numId w:val="34"/>
        </w:numPr>
        <w:rPr>
          <w:rFonts w:eastAsiaTheme="minorHAnsi"/>
          <w:b/>
          <w:i/>
          <w:lang w:val="en-US" w:eastAsia="en-US"/>
        </w:rPr>
      </w:pPr>
      <w:proofErr w:type="gramStart"/>
      <w:r>
        <w:rPr>
          <w:rFonts w:eastAsiaTheme="minorHAnsi"/>
          <w:lang w:val="en-US" w:eastAsia="en-US"/>
        </w:rPr>
        <w:t>most</w:t>
      </w:r>
      <w:proofErr w:type="gramEnd"/>
      <w:r>
        <w:rPr>
          <w:rFonts w:eastAsiaTheme="minorHAnsi"/>
          <w:lang w:val="en-US" w:eastAsia="en-US"/>
        </w:rPr>
        <w:t xml:space="preserve"> reported instances of expropriation are generally between the Philippines g</w:t>
      </w:r>
      <w:r w:rsidR="00BA6BE4">
        <w:rPr>
          <w:rFonts w:eastAsiaTheme="minorHAnsi"/>
          <w:lang w:val="en-US" w:eastAsia="en-US"/>
        </w:rPr>
        <w:t>overnment and corporate bodies.</w:t>
      </w:r>
    </w:p>
    <w:p w:rsidR="00671317" w:rsidRDefault="00671317" w:rsidP="00671317">
      <w:pPr>
        <w:pStyle w:val="Bullet3"/>
        <w:numPr>
          <w:ilvl w:val="0"/>
          <w:numId w:val="0"/>
        </w:numPr>
        <w:tabs>
          <w:tab w:val="left" w:pos="720"/>
        </w:tabs>
        <w:ind w:left="1418"/>
        <w:rPr>
          <w:rFonts w:eastAsiaTheme="minorHAnsi"/>
          <w:b/>
          <w:i/>
          <w:lang w:val="en-US" w:eastAsia="en-US"/>
        </w:rPr>
      </w:pPr>
      <w:r>
        <w:rPr>
          <w:rFonts w:eastAsiaTheme="minorHAnsi"/>
          <w:lang w:val="en-US" w:eastAsia="en-US"/>
        </w:rPr>
        <w:t xml:space="preserve">In short, there is nothing to indicate that expropriation compensation laws are not adhered to, other than reports of forced evictions, discussed at 4.1(b) (which are not described as expropriations, but which are, in substance, expropriations that have not followed due process or afforded compensation). </w:t>
      </w:r>
    </w:p>
    <w:p w:rsidR="00671317" w:rsidRDefault="00671317" w:rsidP="006A3EBE">
      <w:pPr>
        <w:pStyle w:val="AllensHeading2"/>
        <w:rPr>
          <w:rFonts w:eastAsiaTheme="minorHAnsi"/>
          <w:lang w:val="en-US" w:eastAsia="en-US"/>
        </w:rPr>
      </w:pPr>
      <w:bookmarkStart w:id="86" w:name="ShelterCluster"/>
      <w:bookmarkStart w:id="87" w:name="_Toc490144184"/>
      <w:bookmarkStart w:id="88" w:name="_Toc486677144"/>
      <w:bookmarkStart w:id="89" w:name="_Toc513116264"/>
      <w:bookmarkEnd w:id="86"/>
      <w:r>
        <w:rPr>
          <w:rFonts w:eastAsiaTheme="minorHAnsi"/>
          <w:lang w:val="en-US" w:eastAsia="en-US"/>
        </w:rPr>
        <w:t>Shelter cluster</w:t>
      </w:r>
      <w:bookmarkEnd w:id="87"/>
      <w:bookmarkEnd w:id="88"/>
      <w:bookmarkEnd w:id="89"/>
    </w:p>
    <w:p w:rsidR="00671317" w:rsidRDefault="00671317" w:rsidP="006A3EBE">
      <w:pPr>
        <w:pStyle w:val="AllensHeading3"/>
        <w:rPr>
          <w:b/>
        </w:rPr>
      </w:pPr>
      <w:r>
        <w:rPr>
          <w:b/>
        </w:rPr>
        <w:t>Is there an active shelter cluster in the country?</w:t>
      </w:r>
    </w:p>
    <w:p w:rsidR="00671317" w:rsidRDefault="00671317" w:rsidP="00671317">
      <w:pPr>
        <w:pStyle w:val="AllensHeading3"/>
        <w:numPr>
          <w:ilvl w:val="0"/>
          <w:numId w:val="0"/>
        </w:numPr>
        <w:tabs>
          <w:tab w:val="left" w:pos="720"/>
        </w:tabs>
        <w:ind w:left="1418"/>
      </w:pPr>
      <w:r>
        <w:t xml:space="preserve">There is currently an active </w:t>
      </w:r>
      <w:r w:rsidR="004E7C29">
        <w:t>s</w:t>
      </w:r>
      <w:r>
        <w:t xml:space="preserve">helter </w:t>
      </w:r>
      <w:proofErr w:type="gramStart"/>
      <w:r w:rsidR="004E7C29">
        <w:t>c</w:t>
      </w:r>
      <w:r>
        <w:t>luster</w:t>
      </w:r>
      <w:r w:rsidR="00661862">
        <w:t>, that</w:t>
      </w:r>
      <w:proofErr w:type="gramEnd"/>
      <w:r w:rsidR="00661862">
        <w:t xml:space="preserve"> was last active around</w:t>
      </w:r>
      <w:r>
        <w:t xml:space="preserve"> Typhoon </w:t>
      </w:r>
      <w:proofErr w:type="spellStart"/>
      <w:r>
        <w:t>Haima</w:t>
      </w:r>
      <w:proofErr w:type="spellEnd"/>
      <w:r>
        <w:t>, with the International Federation of the Red Cross lis</w:t>
      </w:r>
      <w:r w:rsidR="00C373AC">
        <w:t>ted as the 'Lead for Emergency'</w:t>
      </w:r>
      <w:r>
        <w:t>.</w:t>
      </w:r>
      <w:r>
        <w:rPr>
          <w:rStyle w:val="FootnoteReference"/>
        </w:rPr>
        <w:footnoteReference w:id="213"/>
      </w:r>
    </w:p>
    <w:p w:rsidR="00671317" w:rsidRDefault="00671317" w:rsidP="006A3EBE">
      <w:pPr>
        <w:pStyle w:val="AllensHeading3"/>
        <w:rPr>
          <w:b/>
        </w:rPr>
      </w:pPr>
      <w:r>
        <w:rPr>
          <w:b/>
        </w:rPr>
        <w:t>Has shelter cluster been activated during any previous disasters?</w:t>
      </w:r>
    </w:p>
    <w:p w:rsidR="00671317" w:rsidRDefault="00C373AC" w:rsidP="00671317">
      <w:pPr>
        <w:pStyle w:val="NormalIndent"/>
        <w:ind w:left="1418"/>
        <w:rPr>
          <w:rFonts w:eastAsiaTheme="minorHAnsi"/>
          <w:lang w:val="en-US" w:eastAsia="en-US"/>
        </w:rPr>
      </w:pPr>
      <w:r w:rsidRPr="00C373AC">
        <w:rPr>
          <w:rStyle w:val="Strong"/>
          <w:rFonts w:cs="Arial"/>
          <w:b w:val="0"/>
          <w:color w:val="000000"/>
          <w:shd w:val="clear" w:color="auto" w:fill="FFFFFF"/>
        </w:rPr>
        <w:t>The following emergencies in Philippines have received shelter coordination support from the Shelter Cluster</w:t>
      </w:r>
      <w:r w:rsidR="00FB44BD">
        <w:rPr>
          <w:rFonts w:eastAsiaTheme="minorHAnsi"/>
          <w:lang w:val="en-US" w:eastAsia="en-US"/>
        </w:rPr>
        <w:t>:</w:t>
      </w:r>
      <w:r w:rsidR="00671317">
        <w:rPr>
          <w:rStyle w:val="FootnoteReference"/>
          <w:rFonts w:eastAsiaTheme="minorHAnsi"/>
          <w:lang w:val="en-US" w:eastAsia="en-US"/>
        </w:rPr>
        <w:footnoteReference w:id="214"/>
      </w:r>
    </w:p>
    <w:p w:rsidR="00671317" w:rsidRDefault="00671317" w:rsidP="00671317">
      <w:pPr>
        <w:pStyle w:val="Bullet2"/>
        <w:numPr>
          <w:ilvl w:val="0"/>
          <w:numId w:val="33"/>
        </w:numPr>
        <w:tabs>
          <w:tab w:val="clear" w:pos="1418"/>
          <w:tab w:val="num" w:pos="2127"/>
        </w:tabs>
        <w:ind w:left="2127"/>
        <w:rPr>
          <w:rFonts w:eastAsiaTheme="minorHAnsi"/>
          <w:lang w:val="en-US" w:eastAsia="en-US"/>
        </w:rPr>
      </w:pPr>
      <w:r>
        <w:rPr>
          <w:rFonts w:eastAsiaTheme="minorHAnsi"/>
          <w:lang w:val="en-US" w:eastAsia="en-US"/>
        </w:rPr>
        <w:t>Typhoon Haiyan in 2013;</w:t>
      </w:r>
    </w:p>
    <w:p w:rsidR="00671317" w:rsidRDefault="00671317" w:rsidP="00671317">
      <w:pPr>
        <w:pStyle w:val="Bullet2"/>
        <w:numPr>
          <w:ilvl w:val="0"/>
          <w:numId w:val="33"/>
        </w:numPr>
        <w:ind w:left="2127"/>
        <w:rPr>
          <w:rFonts w:eastAsiaTheme="minorHAnsi"/>
          <w:lang w:val="en-US" w:eastAsia="en-US"/>
        </w:rPr>
      </w:pPr>
      <w:r>
        <w:rPr>
          <w:rFonts w:eastAsiaTheme="minorHAnsi"/>
          <w:lang w:val="en-US" w:eastAsia="en-US"/>
        </w:rPr>
        <w:t>Bohol Earthquake in 2013;</w:t>
      </w:r>
    </w:p>
    <w:p w:rsidR="00671317" w:rsidRDefault="00671317" w:rsidP="00671317">
      <w:pPr>
        <w:pStyle w:val="Bullet2"/>
        <w:numPr>
          <w:ilvl w:val="0"/>
          <w:numId w:val="33"/>
        </w:numPr>
        <w:ind w:left="2127"/>
        <w:rPr>
          <w:rFonts w:eastAsiaTheme="minorHAnsi"/>
          <w:lang w:val="en-US" w:eastAsia="en-US"/>
        </w:rPr>
      </w:pPr>
      <w:r>
        <w:rPr>
          <w:rFonts w:eastAsiaTheme="minorHAnsi"/>
          <w:lang w:val="en-US" w:eastAsia="en-US"/>
        </w:rPr>
        <w:t xml:space="preserve">Typhoon </w:t>
      </w:r>
      <w:proofErr w:type="spellStart"/>
      <w:r>
        <w:rPr>
          <w:rFonts w:eastAsiaTheme="minorHAnsi"/>
          <w:lang w:val="en-US" w:eastAsia="en-US"/>
        </w:rPr>
        <w:t>Bopha</w:t>
      </w:r>
      <w:proofErr w:type="spellEnd"/>
      <w:r>
        <w:rPr>
          <w:rFonts w:eastAsiaTheme="minorHAnsi"/>
          <w:lang w:val="en-US" w:eastAsia="en-US"/>
        </w:rPr>
        <w:t>/Pablo in 2012;</w:t>
      </w:r>
    </w:p>
    <w:p w:rsidR="004E7C29" w:rsidRDefault="00671317" w:rsidP="004E7C29">
      <w:pPr>
        <w:pStyle w:val="Bullet2"/>
        <w:numPr>
          <w:ilvl w:val="0"/>
          <w:numId w:val="33"/>
        </w:numPr>
        <w:ind w:left="2127"/>
        <w:rPr>
          <w:rFonts w:eastAsiaTheme="minorHAnsi"/>
          <w:lang w:val="en-US" w:eastAsia="en-US"/>
        </w:rPr>
      </w:pPr>
      <w:r w:rsidRPr="004E7C29">
        <w:rPr>
          <w:rFonts w:eastAsiaTheme="minorHAnsi"/>
          <w:lang w:val="en-US" w:eastAsia="en-US"/>
        </w:rPr>
        <w:t xml:space="preserve">Tropical Storm </w:t>
      </w:r>
      <w:proofErr w:type="spellStart"/>
      <w:r w:rsidRPr="004E7C29">
        <w:rPr>
          <w:rFonts w:eastAsiaTheme="minorHAnsi"/>
          <w:lang w:val="en-US" w:eastAsia="en-US"/>
        </w:rPr>
        <w:t>Sendong</w:t>
      </w:r>
      <w:proofErr w:type="spellEnd"/>
      <w:r w:rsidRPr="004E7C29">
        <w:rPr>
          <w:rFonts w:eastAsiaTheme="minorHAnsi"/>
          <w:lang w:val="en-US" w:eastAsia="en-US"/>
        </w:rPr>
        <w:t xml:space="preserve"> in 2011;</w:t>
      </w:r>
    </w:p>
    <w:p w:rsidR="00671317" w:rsidRPr="004E7C29" w:rsidRDefault="00671317" w:rsidP="004E7C29">
      <w:pPr>
        <w:pStyle w:val="Bullet2"/>
        <w:numPr>
          <w:ilvl w:val="0"/>
          <w:numId w:val="33"/>
        </w:numPr>
        <w:ind w:left="2127"/>
        <w:rPr>
          <w:rFonts w:eastAsiaTheme="minorHAnsi"/>
          <w:lang w:val="en-US" w:eastAsia="en-US"/>
        </w:rPr>
      </w:pPr>
      <w:r w:rsidRPr="004E7C29">
        <w:rPr>
          <w:rFonts w:eastAsiaTheme="minorHAnsi"/>
          <w:lang w:val="en-US" w:eastAsia="en-US"/>
        </w:rPr>
        <w:t xml:space="preserve">Typhoons </w:t>
      </w:r>
      <w:proofErr w:type="spellStart"/>
      <w:r w:rsidRPr="004E7C29">
        <w:rPr>
          <w:rFonts w:eastAsiaTheme="minorHAnsi"/>
          <w:lang w:val="en-US" w:eastAsia="en-US"/>
        </w:rPr>
        <w:t>Ketsana</w:t>
      </w:r>
      <w:proofErr w:type="spellEnd"/>
      <w:r w:rsidRPr="004E7C29">
        <w:rPr>
          <w:rFonts w:eastAsiaTheme="minorHAnsi"/>
          <w:lang w:val="en-US" w:eastAsia="en-US"/>
        </w:rPr>
        <w:t xml:space="preserve"> and Parma in 2009; and</w:t>
      </w:r>
    </w:p>
    <w:p w:rsidR="00671317" w:rsidRDefault="00671317" w:rsidP="004E7C29">
      <w:pPr>
        <w:pStyle w:val="Bullet2"/>
        <w:numPr>
          <w:ilvl w:val="0"/>
          <w:numId w:val="33"/>
        </w:numPr>
        <w:ind w:left="2127"/>
        <w:rPr>
          <w:rFonts w:eastAsiaTheme="minorHAnsi"/>
          <w:lang w:val="en-US" w:eastAsia="en-US"/>
        </w:rPr>
      </w:pPr>
      <w:r>
        <w:rPr>
          <w:rFonts w:eastAsiaTheme="minorHAnsi"/>
          <w:lang w:val="en-US" w:eastAsia="en-US"/>
        </w:rPr>
        <w:t>Typhoon Durian in 2006.</w:t>
      </w:r>
    </w:p>
    <w:p w:rsidR="00671317" w:rsidRDefault="00671317" w:rsidP="00671317">
      <w:pPr>
        <w:spacing w:before="0" w:after="200" w:line="276" w:lineRule="auto"/>
        <w:rPr>
          <w:rFonts w:eastAsiaTheme="minorHAnsi"/>
          <w:lang w:val="en-US" w:eastAsia="en-US"/>
        </w:rPr>
      </w:pPr>
      <w:r>
        <w:rPr>
          <w:rFonts w:eastAsiaTheme="minorHAnsi"/>
          <w:lang w:val="en-US" w:eastAsia="en-US"/>
        </w:rPr>
        <w:br w:type="page"/>
      </w:r>
    </w:p>
    <w:p w:rsidR="00671317" w:rsidRDefault="00671317" w:rsidP="006A3EBE">
      <w:pPr>
        <w:pStyle w:val="AllensHeading1"/>
      </w:pPr>
      <w:bookmarkStart w:id="90" w:name="DocumentBody"/>
      <w:bookmarkStart w:id="91" w:name="_Toc486677145"/>
      <w:bookmarkStart w:id="92" w:name="_Toc490144185"/>
      <w:bookmarkStart w:id="93" w:name="_Ref496878492"/>
      <w:bookmarkStart w:id="94" w:name="_Toc513116265"/>
      <w:bookmarkEnd w:id="90"/>
      <w:r>
        <w:lastRenderedPageBreak/>
        <w:t>Bibliography</w:t>
      </w:r>
      <w:bookmarkEnd w:id="91"/>
      <w:bookmarkEnd w:id="92"/>
      <w:bookmarkEnd w:id="93"/>
      <w:bookmarkEnd w:id="94"/>
    </w:p>
    <w:p w:rsidR="00671317" w:rsidRDefault="00671317" w:rsidP="006A3EBE">
      <w:pPr>
        <w:pStyle w:val="AllensHeading2"/>
      </w:pPr>
      <w:bookmarkStart w:id="95" w:name="_Toc490144186"/>
      <w:bookmarkStart w:id="96" w:name="_Toc486677146"/>
      <w:bookmarkStart w:id="97" w:name="_Toc513116266"/>
      <w:r>
        <w:t>Legislation</w:t>
      </w:r>
      <w:bookmarkEnd w:id="95"/>
      <w:bookmarkEnd w:id="96"/>
      <w:bookmarkEnd w:id="97"/>
    </w:p>
    <w:p w:rsidR="00671317" w:rsidRDefault="00671317" w:rsidP="00671317">
      <w:pPr>
        <w:pStyle w:val="NormalIndent"/>
        <w:ind w:left="0"/>
        <w:rPr>
          <w:i/>
        </w:rPr>
      </w:pPr>
      <w:r>
        <w:rPr>
          <w:i/>
        </w:rPr>
        <w:t>1987 Constitution of the Republic of the Philippines</w:t>
      </w:r>
    </w:p>
    <w:p w:rsidR="00B8541C" w:rsidRDefault="00B8541C" w:rsidP="00671317">
      <w:pPr>
        <w:pStyle w:val="NormalIndent"/>
        <w:ind w:left="0"/>
        <w:rPr>
          <w:i/>
        </w:rPr>
      </w:pPr>
      <w:r>
        <w:rPr>
          <w:rFonts w:eastAsiaTheme="minorHAnsi"/>
          <w:lang w:val="en-US" w:eastAsia="en-US"/>
        </w:rPr>
        <w:t xml:space="preserve">1997 Rules of Civil Procedure, as amended (Rules 1-71, Rules of Court) (effective 1 July 1997) </w:t>
      </w:r>
    </w:p>
    <w:p w:rsidR="00AF7693" w:rsidRDefault="00AF7693" w:rsidP="00671317">
      <w:pPr>
        <w:pStyle w:val="NormalIndent"/>
        <w:ind w:left="0"/>
        <w:rPr>
          <w:rFonts w:eastAsiaTheme="minorHAnsi"/>
          <w:i/>
          <w:lang w:val="en-US" w:eastAsia="en-US"/>
        </w:rPr>
      </w:pPr>
      <w:r w:rsidRPr="0055564A">
        <w:rPr>
          <w:i/>
        </w:rPr>
        <w:t>Agricultural Land Reform Code</w:t>
      </w:r>
    </w:p>
    <w:p w:rsidR="00AD30FD" w:rsidRDefault="00AD30FD" w:rsidP="00671317">
      <w:pPr>
        <w:pStyle w:val="NormalIndent"/>
        <w:ind w:left="0"/>
        <w:rPr>
          <w:rFonts w:eastAsiaTheme="minorHAnsi"/>
          <w:i/>
          <w:lang w:val="en-US" w:eastAsia="en-US"/>
        </w:rPr>
      </w:pPr>
      <w:r w:rsidRPr="00D76DEE">
        <w:rPr>
          <w:bCs/>
          <w:i/>
          <w:iCs/>
        </w:rPr>
        <w:t xml:space="preserve">Anti-Squatting Law Repeal Act of 1997 </w:t>
      </w:r>
      <w:r w:rsidRPr="00F423AF">
        <w:rPr>
          <w:bCs/>
          <w:iCs/>
        </w:rPr>
        <w:t>(Republic Act 8368)</w:t>
      </w:r>
      <w:r>
        <w:rPr>
          <w:bCs/>
          <w:iCs/>
        </w:rPr>
        <w:t xml:space="preserve"> </w:t>
      </w:r>
    </w:p>
    <w:p w:rsidR="00671317" w:rsidRPr="00861E17" w:rsidRDefault="00671317" w:rsidP="00671317">
      <w:pPr>
        <w:pStyle w:val="NormalIndent"/>
        <w:ind w:left="0"/>
        <w:rPr>
          <w:rFonts w:eastAsiaTheme="minorHAnsi"/>
          <w:lang w:val="en-US" w:eastAsia="en-US"/>
        </w:rPr>
      </w:pPr>
      <w:r>
        <w:rPr>
          <w:rFonts w:eastAsiaTheme="minorHAnsi"/>
          <w:i/>
          <w:lang w:val="en-US" w:eastAsia="en-US"/>
        </w:rPr>
        <w:t>Civil Code of the Philippines</w:t>
      </w:r>
      <w:r w:rsidR="00861E17">
        <w:rPr>
          <w:rFonts w:eastAsiaTheme="minorHAnsi"/>
          <w:i/>
          <w:lang w:val="en-US" w:eastAsia="en-US"/>
        </w:rPr>
        <w:t xml:space="preserve"> </w:t>
      </w:r>
      <w:r w:rsidR="00861E17" w:rsidRPr="00861E17">
        <w:rPr>
          <w:rFonts w:eastAsiaTheme="minorHAnsi"/>
          <w:lang w:val="en-US" w:eastAsia="en-US"/>
        </w:rPr>
        <w:t>(Republic A</w:t>
      </w:r>
      <w:r w:rsidR="00F423AF">
        <w:rPr>
          <w:rFonts w:eastAsiaTheme="minorHAnsi"/>
          <w:lang w:val="en-US" w:eastAsia="en-US"/>
        </w:rPr>
        <w:t xml:space="preserve">ct </w:t>
      </w:r>
      <w:r w:rsidR="00861E17" w:rsidRPr="00861E17">
        <w:rPr>
          <w:rFonts w:eastAsiaTheme="minorHAnsi"/>
          <w:lang w:val="en-US" w:eastAsia="en-US"/>
        </w:rPr>
        <w:t>386)</w:t>
      </w:r>
    </w:p>
    <w:p w:rsidR="00AD30FD" w:rsidRPr="00934042" w:rsidRDefault="006A113A" w:rsidP="00AD30FD">
      <w:pPr>
        <w:pStyle w:val="Bullet1"/>
        <w:numPr>
          <w:ilvl w:val="0"/>
          <w:numId w:val="0"/>
        </w:numPr>
        <w:ind w:left="709" w:hanging="709"/>
        <w:jc w:val="both"/>
        <w:rPr>
          <w:rFonts w:cs="Arial"/>
        </w:rPr>
      </w:pPr>
      <w:hyperlink r:id="rId41" w:history="1">
        <w:r w:rsidR="00AD30FD" w:rsidRPr="0014020A">
          <w:rPr>
            <w:rStyle w:val="Hyperlink"/>
            <w:rFonts w:cs="Arial"/>
            <w:i/>
          </w:rPr>
          <w:t>Cadastral Act of 1913</w:t>
        </w:r>
      </w:hyperlink>
      <w:r w:rsidR="00AD30FD">
        <w:rPr>
          <w:rFonts w:cs="Arial"/>
        </w:rPr>
        <w:t xml:space="preserve"> (Act 2259)</w:t>
      </w:r>
    </w:p>
    <w:p w:rsidR="00F423AF" w:rsidRDefault="00F423AF" w:rsidP="00671317">
      <w:pPr>
        <w:pStyle w:val="NormalIndent"/>
        <w:ind w:left="0"/>
        <w:rPr>
          <w:rFonts w:eastAsiaTheme="minorHAnsi"/>
          <w:i/>
          <w:lang w:val="en-US" w:eastAsia="en-US"/>
        </w:rPr>
      </w:pPr>
      <w:r w:rsidRPr="00EE769A">
        <w:rPr>
          <w:i/>
        </w:rPr>
        <w:t>Co</w:t>
      </w:r>
      <w:r>
        <w:rPr>
          <w:i/>
        </w:rPr>
        <w:t xml:space="preserve">mmonwealth Act </w:t>
      </w:r>
      <w:r w:rsidRPr="00F423AF">
        <w:rPr>
          <w:i/>
        </w:rPr>
        <w:t>1936</w:t>
      </w:r>
      <w:r w:rsidR="00B05DFC">
        <w:rPr>
          <w:i/>
        </w:rPr>
        <w:t xml:space="preserve"> </w:t>
      </w:r>
      <w:r w:rsidR="00B05DFC" w:rsidRPr="00B05DFC">
        <w:t>(Act 141)</w:t>
      </w:r>
    </w:p>
    <w:p w:rsidR="00AD30FD" w:rsidRDefault="006A113A" w:rsidP="00AD30FD">
      <w:pPr>
        <w:jc w:val="both"/>
        <w:rPr>
          <w:rFonts w:eastAsiaTheme="minorHAnsi" w:cs="Arial"/>
          <w:lang w:eastAsia="en-US"/>
        </w:rPr>
      </w:pPr>
      <w:hyperlink r:id="rId42" w:history="1">
        <w:r w:rsidR="00AD30FD" w:rsidRPr="0037783D">
          <w:rPr>
            <w:rStyle w:val="Hyperlink"/>
            <w:rFonts w:eastAsiaTheme="minorHAnsi" w:cs="Arial"/>
            <w:i/>
            <w:lang w:eastAsia="en-US"/>
          </w:rPr>
          <w:t>Comprehensive Agrarian Reform Law of 1988</w:t>
        </w:r>
      </w:hyperlink>
      <w:r w:rsidR="00AD30FD" w:rsidRPr="00FA62B7">
        <w:rPr>
          <w:rFonts w:eastAsiaTheme="minorHAnsi" w:cs="Arial"/>
          <w:i/>
          <w:lang w:eastAsia="en-US"/>
        </w:rPr>
        <w:t xml:space="preserve"> </w:t>
      </w:r>
      <w:r w:rsidR="00AD30FD">
        <w:rPr>
          <w:rFonts w:eastAsiaTheme="minorHAnsi" w:cs="Arial"/>
          <w:lang w:eastAsia="en-US"/>
        </w:rPr>
        <w:t>(Republic Act 6657)</w:t>
      </w:r>
    </w:p>
    <w:p w:rsidR="00AD30FD" w:rsidRDefault="006A113A" w:rsidP="00AD30FD">
      <w:pPr>
        <w:jc w:val="both"/>
        <w:rPr>
          <w:rFonts w:eastAsiaTheme="minorHAnsi" w:cs="Arial"/>
          <w:lang w:eastAsia="en-US"/>
        </w:rPr>
      </w:pPr>
      <w:hyperlink r:id="rId43" w:history="1">
        <w:r w:rsidR="00AD30FD" w:rsidRPr="0037783D">
          <w:rPr>
            <w:rStyle w:val="Hyperlink"/>
            <w:i/>
          </w:rPr>
          <w:t>Comprehensive Agrarian Reform Program Extension with Reforms of 2009</w:t>
        </w:r>
      </w:hyperlink>
      <w:r w:rsidR="00AD30FD">
        <w:t xml:space="preserve"> </w:t>
      </w:r>
      <w:r w:rsidR="00AD30FD">
        <w:rPr>
          <w:rFonts w:eastAsiaTheme="minorHAnsi" w:cs="Arial"/>
          <w:lang w:eastAsia="en-US"/>
        </w:rPr>
        <w:t>(Republic Act 9700)</w:t>
      </w:r>
    </w:p>
    <w:p w:rsidR="00F423AF" w:rsidRPr="00F423AF" w:rsidRDefault="00F423AF" w:rsidP="00F423AF">
      <w:pPr>
        <w:pStyle w:val="NormalIndent"/>
        <w:ind w:left="0"/>
        <w:rPr>
          <w:rFonts w:eastAsiaTheme="minorHAnsi"/>
          <w:lang w:val="en-US" w:eastAsia="en-US"/>
        </w:rPr>
      </w:pPr>
      <w:r>
        <w:rPr>
          <w:rFonts w:eastAsiaTheme="minorHAnsi"/>
          <w:i/>
          <w:lang w:val="en-US" w:eastAsia="en-US"/>
        </w:rPr>
        <w:t xml:space="preserve">Disaster Risk Reduction and Management Act of 2010 </w:t>
      </w:r>
      <w:r>
        <w:rPr>
          <w:rFonts w:eastAsiaTheme="minorHAnsi"/>
          <w:lang w:val="en-US" w:eastAsia="en-US"/>
        </w:rPr>
        <w:t>(</w:t>
      </w:r>
      <w:r w:rsidR="000C7F2B">
        <w:rPr>
          <w:rFonts w:eastAsiaTheme="minorHAnsi"/>
          <w:lang w:val="en-US" w:eastAsia="en-US"/>
        </w:rPr>
        <w:t xml:space="preserve">Republic Act </w:t>
      </w:r>
      <w:r w:rsidRPr="00861E17">
        <w:rPr>
          <w:rFonts w:eastAsiaTheme="minorHAnsi"/>
          <w:lang w:val="en-US" w:eastAsia="en-US"/>
        </w:rPr>
        <w:t>1012)</w:t>
      </w:r>
    </w:p>
    <w:p w:rsidR="00AD30FD" w:rsidRPr="000003A0" w:rsidRDefault="006A113A" w:rsidP="00AD30FD">
      <w:pPr>
        <w:pStyle w:val="Bullet1"/>
        <w:numPr>
          <w:ilvl w:val="0"/>
          <w:numId w:val="0"/>
        </w:numPr>
        <w:ind w:left="709" w:hanging="709"/>
        <w:jc w:val="both"/>
        <w:rPr>
          <w:rFonts w:cs="Arial"/>
        </w:rPr>
      </w:pPr>
      <w:hyperlink r:id="rId44" w:history="1">
        <w:r w:rsidR="00AD30FD" w:rsidRPr="00D32777">
          <w:rPr>
            <w:rStyle w:val="Hyperlink"/>
            <w:rFonts w:cs="Arial"/>
            <w:i/>
          </w:rPr>
          <w:t>Disposition of Lands for Socialized Housing of 2006</w:t>
        </w:r>
      </w:hyperlink>
      <w:r w:rsidR="00AD30FD" w:rsidRPr="000003A0">
        <w:rPr>
          <w:rFonts w:cs="Arial"/>
          <w:i/>
        </w:rPr>
        <w:t xml:space="preserve"> </w:t>
      </w:r>
      <w:r w:rsidR="00AD30FD" w:rsidRPr="000003A0">
        <w:rPr>
          <w:rFonts w:cs="Arial"/>
        </w:rPr>
        <w:t>(Republic Act 9397)</w:t>
      </w:r>
    </w:p>
    <w:p w:rsidR="00AD30FD" w:rsidRPr="00FA62B7" w:rsidRDefault="006A113A" w:rsidP="00AD30FD">
      <w:pPr>
        <w:pStyle w:val="Bullet1"/>
        <w:numPr>
          <w:ilvl w:val="0"/>
          <w:numId w:val="0"/>
        </w:numPr>
        <w:ind w:left="709" w:hanging="709"/>
        <w:jc w:val="both"/>
        <w:rPr>
          <w:rFonts w:cs="Arial"/>
        </w:rPr>
      </w:pPr>
      <w:hyperlink r:id="rId45" w:history="1">
        <w:r w:rsidR="00AD30FD" w:rsidRPr="00D32777">
          <w:rPr>
            <w:rStyle w:val="Hyperlink"/>
            <w:rFonts w:cs="Arial"/>
            <w:i/>
          </w:rPr>
          <w:t>Environmental Planning Act of 2013</w:t>
        </w:r>
      </w:hyperlink>
      <w:r w:rsidR="00AD30FD" w:rsidRPr="00FA62B7">
        <w:rPr>
          <w:rFonts w:cs="Arial"/>
        </w:rPr>
        <w:t xml:space="preserve"> (Republic Act 10587)</w:t>
      </w:r>
    </w:p>
    <w:p w:rsidR="00F423AF" w:rsidRPr="00F423AF" w:rsidRDefault="006A113A" w:rsidP="00AD30FD">
      <w:pPr>
        <w:jc w:val="both"/>
        <w:rPr>
          <w:rFonts w:eastAsiaTheme="minorHAnsi" w:cs="Arial"/>
          <w:lang w:eastAsia="en-US"/>
        </w:rPr>
      </w:pPr>
      <w:hyperlink r:id="rId46" w:history="1">
        <w:r w:rsidR="00AD30FD" w:rsidRPr="00DC4700">
          <w:rPr>
            <w:rStyle w:val="Hyperlink"/>
            <w:rFonts w:eastAsiaTheme="minorHAnsi" w:cs="Arial"/>
            <w:i/>
            <w:lang w:eastAsia="en-US"/>
          </w:rPr>
          <w:t>Family Code of the Philippines of 1987</w:t>
        </w:r>
      </w:hyperlink>
      <w:r w:rsidR="00AD30FD" w:rsidRPr="00FA62B7">
        <w:rPr>
          <w:rFonts w:eastAsiaTheme="minorHAnsi" w:cs="Arial"/>
          <w:lang w:eastAsia="en-US"/>
        </w:rPr>
        <w:t xml:space="preserve"> (</w:t>
      </w:r>
      <w:r w:rsidR="00AD30FD">
        <w:rPr>
          <w:rFonts w:eastAsiaTheme="minorHAnsi" w:cs="Arial"/>
          <w:lang w:eastAsia="en-US"/>
        </w:rPr>
        <w:t>Republic Act</w:t>
      </w:r>
      <w:r w:rsidR="00AD30FD" w:rsidRPr="00FA62B7">
        <w:rPr>
          <w:rFonts w:eastAsiaTheme="minorHAnsi" w:cs="Arial"/>
          <w:lang w:eastAsia="en-US"/>
        </w:rPr>
        <w:t xml:space="preserve"> 209)</w:t>
      </w:r>
    </w:p>
    <w:p w:rsidR="00F423AF" w:rsidRPr="00861E17" w:rsidRDefault="00F423AF" w:rsidP="00F423AF">
      <w:pPr>
        <w:rPr>
          <w:lang w:val="en-US"/>
        </w:rPr>
      </w:pPr>
      <w:r>
        <w:rPr>
          <w:i/>
          <w:lang w:val="en-US"/>
        </w:rPr>
        <w:t xml:space="preserve">Fisheries Code </w:t>
      </w:r>
      <w:r w:rsidR="008A0004">
        <w:rPr>
          <w:i/>
          <w:lang w:val="en-US"/>
        </w:rPr>
        <w:t xml:space="preserve">of </w:t>
      </w:r>
      <w:r>
        <w:rPr>
          <w:i/>
          <w:lang w:val="en-US"/>
        </w:rPr>
        <w:t>1998</w:t>
      </w:r>
      <w:r>
        <w:rPr>
          <w:lang w:val="en-US"/>
        </w:rPr>
        <w:t xml:space="preserve"> (Republic Act</w:t>
      </w:r>
      <w:r w:rsidRPr="00861E17">
        <w:rPr>
          <w:lang w:val="en-US"/>
        </w:rPr>
        <w:t xml:space="preserve"> 8550)</w:t>
      </w:r>
    </w:p>
    <w:p w:rsidR="00F423AF" w:rsidRPr="00861E17" w:rsidRDefault="00F423AF" w:rsidP="00F423AF">
      <w:pPr>
        <w:pStyle w:val="NormalIndent"/>
        <w:ind w:left="0"/>
      </w:pPr>
      <w:r>
        <w:rPr>
          <w:i/>
        </w:rPr>
        <w:t>Indigenous Peoples Rights Act of 1997</w:t>
      </w:r>
      <w:r>
        <w:t xml:space="preserve"> (Republic Act </w:t>
      </w:r>
      <w:r w:rsidRPr="00861E17">
        <w:t>8371)</w:t>
      </w:r>
    </w:p>
    <w:p w:rsidR="00F423AF" w:rsidRPr="00F423AF" w:rsidRDefault="00F423AF" w:rsidP="00F423AF">
      <w:pPr>
        <w:pStyle w:val="NormalIndent"/>
        <w:ind w:left="0"/>
        <w:rPr>
          <w:i/>
        </w:rPr>
      </w:pPr>
      <w:proofErr w:type="gramStart"/>
      <w:r>
        <w:rPr>
          <w:i/>
        </w:rPr>
        <w:t>Implementing rules and regulations to ensure the proper and humane relocation and resettlement procedures mandated by the Urban Development and Housing Act of 1992.</w:t>
      </w:r>
      <w:proofErr w:type="gramEnd"/>
    </w:p>
    <w:p w:rsidR="00F423AF" w:rsidRPr="00FA62B7" w:rsidRDefault="00F423AF" w:rsidP="00F423AF">
      <w:pPr>
        <w:jc w:val="both"/>
        <w:rPr>
          <w:rFonts w:eastAsiaTheme="minorHAnsi" w:cs="Arial"/>
          <w:lang w:eastAsia="en-US"/>
        </w:rPr>
      </w:pPr>
      <w:r w:rsidRPr="00FA62B7">
        <w:rPr>
          <w:rFonts w:eastAsiaTheme="minorHAnsi" w:cs="Arial"/>
          <w:i/>
          <w:lang w:eastAsia="en-US"/>
        </w:rPr>
        <w:t>Land Regi</w:t>
      </w:r>
      <w:r>
        <w:rPr>
          <w:rFonts w:eastAsiaTheme="minorHAnsi" w:cs="Arial"/>
          <w:i/>
          <w:lang w:eastAsia="en-US"/>
        </w:rPr>
        <w:t xml:space="preserve">stration Act of 1902 </w:t>
      </w:r>
      <w:r w:rsidRPr="00FA62B7">
        <w:rPr>
          <w:rFonts w:eastAsiaTheme="minorHAnsi" w:cs="Arial"/>
          <w:lang w:eastAsia="en-US"/>
        </w:rPr>
        <w:t>(</w:t>
      </w:r>
      <w:r>
        <w:rPr>
          <w:rFonts w:eastAsiaTheme="minorHAnsi" w:cs="Arial"/>
          <w:lang w:eastAsia="en-US"/>
        </w:rPr>
        <w:t>Act</w:t>
      </w:r>
      <w:r w:rsidRPr="00FA62B7">
        <w:rPr>
          <w:rFonts w:eastAsiaTheme="minorHAnsi" w:cs="Arial"/>
          <w:lang w:eastAsia="en-US"/>
        </w:rPr>
        <w:t xml:space="preserve"> 496) </w:t>
      </w:r>
    </w:p>
    <w:p w:rsidR="00AF7693" w:rsidRDefault="00AF7693" w:rsidP="00F423AF">
      <w:pPr>
        <w:pStyle w:val="NormalIndent"/>
        <w:ind w:left="0"/>
        <w:rPr>
          <w:rFonts w:eastAsiaTheme="minorHAnsi"/>
          <w:i/>
          <w:lang w:val="en-US" w:eastAsia="en-US"/>
        </w:rPr>
      </w:pPr>
      <w:r w:rsidRPr="0055564A">
        <w:rPr>
          <w:i/>
        </w:rPr>
        <w:t>Land Reform Act of 1955</w:t>
      </w:r>
      <w:r w:rsidRPr="00890420">
        <w:t xml:space="preserve"> </w:t>
      </w:r>
    </w:p>
    <w:p w:rsidR="00AD30FD" w:rsidRPr="00FA62B7" w:rsidRDefault="006A113A" w:rsidP="00AD30FD">
      <w:pPr>
        <w:jc w:val="both"/>
        <w:rPr>
          <w:rFonts w:eastAsiaTheme="minorHAnsi" w:cs="Arial"/>
          <w:lang w:eastAsia="en-US"/>
        </w:rPr>
      </w:pPr>
      <w:hyperlink r:id="rId47" w:history="1">
        <w:r w:rsidR="00AD30FD" w:rsidRPr="00DC4700">
          <w:rPr>
            <w:rStyle w:val="Hyperlink"/>
            <w:rFonts w:eastAsiaTheme="minorHAnsi" w:cs="Arial"/>
            <w:i/>
            <w:lang w:eastAsia="en-US"/>
          </w:rPr>
          <w:t>Local Government Code of 1991</w:t>
        </w:r>
        <w:r w:rsidR="00AD30FD" w:rsidRPr="00DC4700">
          <w:rPr>
            <w:rStyle w:val="Hyperlink"/>
            <w:rFonts w:eastAsiaTheme="minorHAnsi" w:cs="Arial"/>
            <w:lang w:eastAsia="en-US"/>
          </w:rPr>
          <w:t xml:space="preserve"> </w:t>
        </w:r>
      </w:hyperlink>
      <w:r w:rsidR="00AD30FD">
        <w:rPr>
          <w:rFonts w:eastAsiaTheme="minorHAnsi" w:cs="Arial"/>
          <w:lang w:eastAsia="en-US"/>
        </w:rPr>
        <w:t>(Republic Act 7160)</w:t>
      </w:r>
    </w:p>
    <w:p w:rsidR="00627B5B" w:rsidRDefault="00627B5B" w:rsidP="00F423AF">
      <w:pPr>
        <w:rPr>
          <w:i/>
          <w:lang w:val="en-US"/>
        </w:rPr>
      </w:pPr>
      <w:proofErr w:type="gramStart"/>
      <w:r w:rsidRPr="005925C1">
        <w:rPr>
          <w:i/>
        </w:rPr>
        <w:t>Magna Carta for Women</w:t>
      </w:r>
      <w:r>
        <w:t xml:space="preserve"> </w:t>
      </w:r>
      <w:r w:rsidRPr="005925C1">
        <w:rPr>
          <w:i/>
        </w:rPr>
        <w:t>2009</w:t>
      </w:r>
      <w:r>
        <w:t xml:space="preserve"> (Republic Act 9710).</w:t>
      </w:r>
      <w:proofErr w:type="gramEnd"/>
    </w:p>
    <w:p w:rsidR="00AD30FD" w:rsidRDefault="006A113A" w:rsidP="00AD30FD">
      <w:pPr>
        <w:jc w:val="both"/>
        <w:rPr>
          <w:rFonts w:eastAsiaTheme="minorHAnsi" w:cs="Arial"/>
          <w:lang w:eastAsia="en-US"/>
        </w:rPr>
      </w:pPr>
      <w:hyperlink r:id="rId48" w:history="1">
        <w:r w:rsidR="00AD30FD" w:rsidRPr="004D534F">
          <w:rPr>
            <w:rStyle w:val="Hyperlink"/>
            <w:rFonts w:eastAsiaTheme="minorHAnsi" w:cs="Arial"/>
            <w:i/>
            <w:lang w:eastAsia="en-US"/>
          </w:rPr>
          <w:t>Mining Act of 1995</w:t>
        </w:r>
      </w:hyperlink>
      <w:r w:rsidR="00AD30FD" w:rsidRPr="00FA62B7">
        <w:rPr>
          <w:rFonts w:eastAsiaTheme="minorHAnsi" w:cs="Arial"/>
          <w:lang w:eastAsia="en-US"/>
        </w:rPr>
        <w:t xml:space="preserve"> (Republic Act 7942)</w:t>
      </w:r>
    </w:p>
    <w:p w:rsidR="00410742" w:rsidRPr="009421AA" w:rsidRDefault="00410742" w:rsidP="00AD30FD">
      <w:pPr>
        <w:jc w:val="both"/>
        <w:rPr>
          <w:rFonts w:eastAsiaTheme="minorHAnsi" w:cs="Arial"/>
          <w:i/>
          <w:lang w:eastAsia="en-US"/>
        </w:rPr>
      </w:pPr>
      <w:r w:rsidRPr="009421AA">
        <w:rPr>
          <w:rFonts w:eastAsiaTheme="minorHAnsi"/>
          <w:i/>
          <w:lang w:val="en-US" w:eastAsia="en-US"/>
        </w:rPr>
        <w:t>Code of Muslim Personal Laws</w:t>
      </w:r>
    </w:p>
    <w:p w:rsidR="00F423AF" w:rsidRDefault="00F423AF" w:rsidP="00671317">
      <w:pPr>
        <w:pStyle w:val="NormalIndent"/>
        <w:ind w:left="0"/>
      </w:pPr>
      <w:r>
        <w:rPr>
          <w:i/>
        </w:rPr>
        <w:t>National Integrated Protected Areas System Act of 1992</w:t>
      </w:r>
      <w:r>
        <w:t xml:space="preserve"> </w:t>
      </w:r>
      <w:r w:rsidRPr="00861E17">
        <w:t>(Republic Act 7586)</w:t>
      </w:r>
    </w:p>
    <w:p w:rsidR="00AD30FD" w:rsidRPr="00FA62B7" w:rsidRDefault="006A113A" w:rsidP="00AD30FD">
      <w:pPr>
        <w:jc w:val="both"/>
        <w:rPr>
          <w:rFonts w:eastAsiaTheme="minorHAnsi" w:cs="Arial"/>
          <w:lang w:eastAsia="en-US"/>
        </w:rPr>
      </w:pPr>
      <w:hyperlink r:id="rId49" w:history="1">
        <w:r w:rsidR="00AD30FD" w:rsidRPr="004D534F">
          <w:rPr>
            <w:rStyle w:val="Hyperlink"/>
            <w:rFonts w:eastAsiaTheme="minorHAnsi" w:cs="Arial"/>
            <w:i/>
            <w:lang w:eastAsia="en-US"/>
          </w:rPr>
          <w:t>Philippine Disaster Risk Reduction and Management Act of 2010</w:t>
        </w:r>
      </w:hyperlink>
      <w:r w:rsidR="00AD30FD" w:rsidRPr="00FA62B7">
        <w:rPr>
          <w:rFonts w:eastAsiaTheme="minorHAnsi" w:cs="Arial"/>
          <w:lang w:eastAsia="en-US"/>
        </w:rPr>
        <w:t xml:space="preserve"> (Republic Act 10121)</w:t>
      </w:r>
    </w:p>
    <w:p w:rsidR="00AD30FD" w:rsidRDefault="006A113A" w:rsidP="00AD30FD">
      <w:pPr>
        <w:jc w:val="both"/>
        <w:rPr>
          <w:rFonts w:eastAsiaTheme="minorHAnsi" w:cs="Arial"/>
          <w:lang w:eastAsia="en-US"/>
        </w:rPr>
      </w:pPr>
      <w:hyperlink r:id="rId50" w:history="1">
        <w:r w:rsidR="00AD30FD" w:rsidRPr="0037783D">
          <w:rPr>
            <w:rStyle w:val="Hyperlink"/>
            <w:rFonts w:eastAsiaTheme="minorHAnsi" w:cs="Arial"/>
            <w:i/>
            <w:lang w:eastAsia="en-US"/>
          </w:rPr>
          <w:t>Philippine Fisheries Code of 1998</w:t>
        </w:r>
      </w:hyperlink>
      <w:r w:rsidR="00AD30FD" w:rsidRPr="00FA62B7">
        <w:rPr>
          <w:rFonts w:eastAsiaTheme="minorHAnsi" w:cs="Arial"/>
          <w:lang w:eastAsia="en-US"/>
        </w:rPr>
        <w:t xml:space="preserve"> (Republic Act 8550)</w:t>
      </w:r>
    </w:p>
    <w:p w:rsidR="00C90F1A" w:rsidRDefault="00C90F1A" w:rsidP="00AD30FD">
      <w:pPr>
        <w:jc w:val="both"/>
        <w:rPr>
          <w:bCs/>
          <w:i/>
          <w:iCs/>
        </w:rPr>
      </w:pPr>
      <w:r>
        <w:rPr>
          <w:bCs/>
          <w:i/>
          <w:iCs/>
        </w:rPr>
        <w:t>Presidential Decree No 27, s 1973</w:t>
      </w:r>
    </w:p>
    <w:p w:rsidR="00C90F1A" w:rsidRDefault="00C90F1A" w:rsidP="00AD30FD">
      <w:pPr>
        <w:jc w:val="both"/>
        <w:rPr>
          <w:bCs/>
          <w:i/>
          <w:iCs/>
        </w:rPr>
      </w:pPr>
      <w:r>
        <w:rPr>
          <w:bCs/>
          <w:i/>
          <w:iCs/>
        </w:rPr>
        <w:t>Presidential Decree No 266, s 1973</w:t>
      </w:r>
    </w:p>
    <w:p w:rsidR="00FC5695" w:rsidRPr="00FC5695" w:rsidRDefault="00FC5695" w:rsidP="00AD30FD">
      <w:pPr>
        <w:jc w:val="both"/>
        <w:rPr>
          <w:i/>
          <w:lang w:val="en-PH"/>
        </w:rPr>
      </w:pPr>
      <w:r w:rsidRPr="00FC5695">
        <w:rPr>
          <w:i/>
          <w:lang w:val="en-PH"/>
        </w:rPr>
        <w:t>Proclamation No 375, s 1956</w:t>
      </w:r>
    </w:p>
    <w:p w:rsidR="00FC5695" w:rsidRPr="00FC5695" w:rsidRDefault="00FC5695" w:rsidP="00AD30FD">
      <w:pPr>
        <w:jc w:val="both"/>
        <w:rPr>
          <w:i/>
          <w:lang w:val="en-PH"/>
        </w:rPr>
      </w:pPr>
      <w:r w:rsidRPr="00FC5695">
        <w:rPr>
          <w:i/>
          <w:lang w:val="en-PH"/>
        </w:rPr>
        <w:t>Proclamation No 922, s 1992</w:t>
      </w:r>
    </w:p>
    <w:p w:rsidR="00FC5695" w:rsidRPr="00FC5695" w:rsidRDefault="00FC5695" w:rsidP="00AD30FD">
      <w:pPr>
        <w:jc w:val="both"/>
        <w:rPr>
          <w:i/>
        </w:rPr>
      </w:pPr>
      <w:r w:rsidRPr="00FC5695">
        <w:rPr>
          <w:i/>
          <w:lang w:val="en-PH"/>
        </w:rPr>
        <w:t>Proclamation No 1354, s 1974</w:t>
      </w:r>
    </w:p>
    <w:p w:rsidR="00AD30FD" w:rsidRDefault="006A113A" w:rsidP="00AD30FD">
      <w:pPr>
        <w:pStyle w:val="Bullet1"/>
        <w:numPr>
          <w:ilvl w:val="0"/>
          <w:numId w:val="0"/>
        </w:numPr>
        <w:ind w:left="709" w:hanging="709"/>
        <w:jc w:val="both"/>
        <w:rPr>
          <w:rFonts w:cs="Arial"/>
        </w:rPr>
      </w:pPr>
      <w:hyperlink r:id="rId51" w:history="1">
        <w:r w:rsidR="00AD30FD" w:rsidRPr="004D534F">
          <w:rPr>
            <w:rStyle w:val="Hyperlink"/>
            <w:rFonts w:cs="Arial"/>
            <w:i/>
          </w:rPr>
          <w:t>Property Registration Decree</w:t>
        </w:r>
      </w:hyperlink>
      <w:r w:rsidR="00AD30FD" w:rsidRPr="00FA62B7">
        <w:rPr>
          <w:rFonts w:cs="Arial"/>
          <w:i/>
        </w:rPr>
        <w:t xml:space="preserve"> </w:t>
      </w:r>
      <w:r w:rsidR="00AD30FD" w:rsidRPr="00FA62B7">
        <w:rPr>
          <w:rFonts w:cs="Arial"/>
        </w:rPr>
        <w:t>(Presidential Decree 1529)</w:t>
      </w:r>
    </w:p>
    <w:p w:rsidR="00AF7693" w:rsidRDefault="00AF7693" w:rsidP="00F423AF">
      <w:pPr>
        <w:pStyle w:val="Bullet1"/>
        <w:numPr>
          <w:ilvl w:val="0"/>
          <w:numId w:val="0"/>
        </w:numPr>
        <w:ind w:left="709" w:hanging="709"/>
        <w:jc w:val="both"/>
        <w:rPr>
          <w:rFonts w:cs="Arial"/>
          <w:i/>
        </w:rPr>
      </w:pPr>
      <w:r w:rsidRPr="003F7BDB">
        <w:rPr>
          <w:i/>
        </w:rPr>
        <w:t>Public Land Act of 1903</w:t>
      </w:r>
      <w:r w:rsidRPr="003F7BDB">
        <w:t xml:space="preserve"> </w:t>
      </w:r>
      <w:r>
        <w:t>(Act 2874)</w:t>
      </w:r>
    </w:p>
    <w:p w:rsidR="00F423AF" w:rsidRDefault="006A113A" w:rsidP="00F423AF">
      <w:pPr>
        <w:pStyle w:val="Bullet1"/>
        <w:numPr>
          <w:ilvl w:val="0"/>
          <w:numId w:val="0"/>
        </w:numPr>
        <w:ind w:left="709" w:hanging="709"/>
        <w:jc w:val="both"/>
        <w:rPr>
          <w:rFonts w:cs="Arial"/>
        </w:rPr>
      </w:pPr>
      <w:hyperlink r:id="rId52" w:history="1">
        <w:r w:rsidR="00AD30FD" w:rsidRPr="00DC4700">
          <w:rPr>
            <w:rStyle w:val="Hyperlink"/>
            <w:rFonts w:cs="Arial"/>
            <w:i/>
          </w:rPr>
          <w:t>Public Land Act of 1919</w:t>
        </w:r>
      </w:hyperlink>
      <w:r w:rsidR="00AD30FD" w:rsidRPr="00FA62B7">
        <w:rPr>
          <w:rFonts w:cs="Arial"/>
          <w:i/>
        </w:rPr>
        <w:t xml:space="preserve"> </w:t>
      </w:r>
      <w:r w:rsidR="00AD30FD" w:rsidRPr="00FA62B7">
        <w:rPr>
          <w:rFonts w:cs="Arial"/>
        </w:rPr>
        <w:t>(Act 2874)</w:t>
      </w:r>
    </w:p>
    <w:p w:rsidR="00AD30FD" w:rsidRDefault="006A113A" w:rsidP="00AD30FD">
      <w:pPr>
        <w:pStyle w:val="Bullet1"/>
        <w:numPr>
          <w:ilvl w:val="0"/>
          <w:numId w:val="0"/>
        </w:numPr>
        <w:ind w:left="709" w:hanging="709"/>
        <w:jc w:val="both"/>
        <w:rPr>
          <w:rFonts w:cs="Arial"/>
        </w:rPr>
      </w:pPr>
      <w:hyperlink r:id="rId53" w:history="1">
        <w:r w:rsidR="00AD30FD" w:rsidRPr="00B84820">
          <w:rPr>
            <w:rStyle w:val="Hyperlink"/>
            <w:rFonts w:cs="Arial"/>
            <w:i/>
          </w:rPr>
          <w:t>Residential Free Patent Act of 2009</w:t>
        </w:r>
      </w:hyperlink>
      <w:r w:rsidR="00AD30FD" w:rsidRPr="00FA62B7">
        <w:rPr>
          <w:rFonts w:cs="Arial"/>
        </w:rPr>
        <w:t xml:space="preserve"> (Republic Act 10023)</w:t>
      </w:r>
    </w:p>
    <w:p w:rsidR="00AD30FD" w:rsidRPr="00FA62B7" w:rsidRDefault="006A113A" w:rsidP="00AD30FD">
      <w:pPr>
        <w:jc w:val="both"/>
        <w:rPr>
          <w:rFonts w:eastAsiaTheme="minorHAnsi" w:cs="Arial"/>
          <w:lang w:eastAsia="en-US"/>
        </w:rPr>
      </w:pPr>
      <w:hyperlink r:id="rId54" w:history="1">
        <w:r w:rsidR="00AD30FD" w:rsidRPr="004D534F">
          <w:rPr>
            <w:rStyle w:val="Hyperlink"/>
            <w:i/>
            <w:lang w:val="en-US"/>
          </w:rPr>
          <w:t>Revised Forestry Code of 1975</w:t>
        </w:r>
        <w:r w:rsidR="00AD30FD" w:rsidRPr="004D534F">
          <w:rPr>
            <w:rStyle w:val="Hyperlink"/>
            <w:lang w:val="en-US"/>
          </w:rPr>
          <w:t xml:space="preserve"> </w:t>
        </w:r>
      </w:hyperlink>
      <w:r w:rsidR="00AD30FD" w:rsidRPr="009E33D5">
        <w:rPr>
          <w:lang w:val="en-US"/>
        </w:rPr>
        <w:t>(</w:t>
      </w:r>
      <w:r w:rsidR="00AD30FD">
        <w:rPr>
          <w:rFonts w:eastAsiaTheme="minorHAnsi"/>
          <w:lang w:eastAsia="en-US"/>
        </w:rPr>
        <w:t>Presidential Decree No 705</w:t>
      </w:r>
      <w:r w:rsidR="00AD30FD" w:rsidRPr="009E33D5">
        <w:rPr>
          <w:rFonts w:eastAsiaTheme="minorHAnsi"/>
          <w:lang w:eastAsia="en-US"/>
        </w:rPr>
        <w:t>)</w:t>
      </w:r>
    </w:p>
    <w:p w:rsidR="00671317" w:rsidRDefault="00671317" w:rsidP="00671317">
      <w:pPr>
        <w:pStyle w:val="NormalIndent"/>
        <w:ind w:left="0"/>
        <w:rPr>
          <w:i/>
        </w:rPr>
      </w:pPr>
      <w:r>
        <w:rPr>
          <w:i/>
        </w:rPr>
        <w:t xml:space="preserve">Rules of Civil Procedure, as amended (Rules 1-71, Rules of Court) </w:t>
      </w:r>
      <w:r w:rsidRPr="00B05DFC">
        <w:t>(effective 1 July 1997)</w:t>
      </w:r>
    </w:p>
    <w:p w:rsidR="00FC5695" w:rsidRPr="00FC5695" w:rsidRDefault="00FC5695" w:rsidP="00FC5695">
      <w:pPr>
        <w:jc w:val="both"/>
        <w:rPr>
          <w:rFonts w:eastAsiaTheme="minorHAnsi" w:cs="Arial"/>
          <w:lang w:eastAsia="en-US"/>
        </w:rPr>
      </w:pPr>
      <w:r w:rsidRPr="00D76DEE">
        <w:rPr>
          <w:bCs/>
          <w:i/>
          <w:iCs/>
        </w:rPr>
        <w:t xml:space="preserve">Squatting Law Repeal Act of 1997 </w:t>
      </w:r>
      <w:r w:rsidRPr="00F423AF">
        <w:rPr>
          <w:bCs/>
          <w:iCs/>
        </w:rPr>
        <w:t>(Republic Act 8368)</w:t>
      </w:r>
    </w:p>
    <w:p w:rsidR="00AD30FD" w:rsidRDefault="006A113A" w:rsidP="00AD30FD">
      <w:pPr>
        <w:pStyle w:val="Bullet1"/>
        <w:numPr>
          <w:ilvl w:val="0"/>
          <w:numId w:val="0"/>
        </w:numPr>
        <w:ind w:left="709" w:hanging="709"/>
        <w:jc w:val="both"/>
        <w:rPr>
          <w:rFonts w:cs="Arial"/>
        </w:rPr>
      </w:pPr>
      <w:hyperlink r:id="rId55" w:history="1">
        <w:r w:rsidR="00AD30FD" w:rsidRPr="009E51DA">
          <w:rPr>
            <w:rStyle w:val="Hyperlink"/>
            <w:rFonts w:cs="Arial"/>
            <w:i/>
          </w:rPr>
          <w:t>The Condominium Act of 1966</w:t>
        </w:r>
        <w:r w:rsidR="00AD30FD" w:rsidRPr="009E51DA">
          <w:rPr>
            <w:rStyle w:val="Hyperlink"/>
            <w:rFonts w:cs="Arial"/>
          </w:rPr>
          <w:t xml:space="preserve"> </w:t>
        </w:r>
      </w:hyperlink>
      <w:r w:rsidR="00AD30FD">
        <w:rPr>
          <w:rFonts w:cs="Arial"/>
        </w:rPr>
        <w:t>(Republic Act 4726)</w:t>
      </w:r>
    </w:p>
    <w:p w:rsidR="005E71AE" w:rsidRPr="000003A0" w:rsidRDefault="005E71AE" w:rsidP="00AD30FD">
      <w:pPr>
        <w:pStyle w:val="Bullet1"/>
        <w:numPr>
          <w:ilvl w:val="0"/>
          <w:numId w:val="0"/>
        </w:numPr>
        <w:ind w:left="709" w:hanging="709"/>
        <w:jc w:val="both"/>
        <w:rPr>
          <w:rFonts w:cs="Arial"/>
        </w:rPr>
      </w:pPr>
      <w:r w:rsidRPr="009059BF">
        <w:rPr>
          <w:i/>
        </w:rPr>
        <w:t>The Right-of-Way Act of 2015</w:t>
      </w:r>
      <w:r>
        <w:t xml:space="preserve"> (Republic Act 10752)</w:t>
      </w:r>
    </w:p>
    <w:p w:rsidR="00AF7693" w:rsidRDefault="00AF7693" w:rsidP="00F423AF">
      <w:pPr>
        <w:pStyle w:val="NormalIndent"/>
        <w:ind w:left="0"/>
        <w:rPr>
          <w:i/>
        </w:rPr>
      </w:pPr>
      <w:r w:rsidRPr="003F7BDB">
        <w:rPr>
          <w:i/>
        </w:rPr>
        <w:t>Tenancy Act of 1933</w:t>
      </w:r>
      <w:r w:rsidRPr="003F7BDB">
        <w:t xml:space="preserve"> (Act</w:t>
      </w:r>
      <w:r>
        <w:t>s</w:t>
      </w:r>
      <w:r w:rsidRPr="003F7BDB">
        <w:t xml:space="preserve"> 4053 and 4113) </w:t>
      </w:r>
    </w:p>
    <w:p w:rsidR="00F423AF" w:rsidRPr="00FA62B7" w:rsidRDefault="006A113A" w:rsidP="00AD30FD">
      <w:pPr>
        <w:pStyle w:val="Bullet1"/>
        <w:numPr>
          <w:ilvl w:val="0"/>
          <w:numId w:val="0"/>
        </w:numPr>
        <w:ind w:left="709" w:hanging="709"/>
        <w:jc w:val="both"/>
        <w:rPr>
          <w:rFonts w:eastAsiaTheme="minorHAnsi" w:cs="Arial"/>
          <w:lang w:eastAsia="en-US"/>
        </w:rPr>
      </w:pPr>
      <w:hyperlink r:id="rId56" w:history="1">
        <w:r w:rsidR="00AD30FD" w:rsidRPr="00276F4D">
          <w:rPr>
            <w:rStyle w:val="Hyperlink"/>
            <w:rFonts w:cs="Arial"/>
            <w:i/>
          </w:rPr>
          <w:t>Urban Development and Housing Act of 1992</w:t>
        </w:r>
        <w:r w:rsidR="00AD30FD" w:rsidRPr="00276F4D">
          <w:rPr>
            <w:rStyle w:val="Hyperlink"/>
            <w:rFonts w:cs="Arial"/>
          </w:rPr>
          <w:t xml:space="preserve"> </w:t>
        </w:r>
      </w:hyperlink>
      <w:r w:rsidR="00AD30FD">
        <w:rPr>
          <w:rFonts w:cs="Arial"/>
        </w:rPr>
        <w:t>(Republic Act 7279)</w:t>
      </w:r>
    </w:p>
    <w:p w:rsidR="00671317" w:rsidRDefault="00671317" w:rsidP="006A3EBE">
      <w:pPr>
        <w:pStyle w:val="AllensHeading2"/>
      </w:pPr>
      <w:bookmarkStart w:id="98" w:name="_Toc490144187"/>
      <w:bookmarkStart w:id="99" w:name="_Toc486677147"/>
      <w:bookmarkStart w:id="100" w:name="_Toc513116267"/>
      <w:r>
        <w:t>Case Law</w:t>
      </w:r>
      <w:bookmarkEnd w:id="98"/>
      <w:bookmarkEnd w:id="99"/>
      <w:bookmarkEnd w:id="100"/>
    </w:p>
    <w:p w:rsidR="00671317" w:rsidRDefault="00B8541C" w:rsidP="001C5BD1">
      <w:proofErr w:type="spellStart"/>
      <w:proofErr w:type="gramStart"/>
      <w:r>
        <w:rPr>
          <w:rFonts w:eastAsiaTheme="minorHAnsi"/>
          <w:i/>
          <w:lang w:val="en-US" w:eastAsia="en-US"/>
        </w:rPr>
        <w:t>Garsain</w:t>
      </w:r>
      <w:proofErr w:type="spellEnd"/>
      <w:r>
        <w:rPr>
          <w:rFonts w:eastAsiaTheme="minorHAnsi"/>
          <w:i/>
          <w:lang w:val="en-US" w:eastAsia="en-US"/>
        </w:rPr>
        <w:t xml:space="preserve"> et al. v.</w:t>
      </w:r>
      <w:proofErr w:type="gramEnd"/>
      <w:r>
        <w:rPr>
          <w:rFonts w:eastAsiaTheme="minorHAnsi"/>
          <w:i/>
          <w:lang w:val="en-US" w:eastAsia="en-US"/>
        </w:rPr>
        <w:t xml:space="preserve"> The Philippines</w:t>
      </w:r>
      <w:r>
        <w:t xml:space="preserve">, </w:t>
      </w:r>
      <w:r w:rsidR="00671317">
        <w:t>Individual Complaint to the Human Rights Committee under the Optional Protocol to the International Covenant</w:t>
      </w:r>
      <w:r w:rsidR="00192AD7">
        <w:t xml:space="preserve"> on Civil and Political Rights </w:t>
      </w:r>
      <w:r w:rsidR="00671317">
        <w:t>(3 December 2012)</w:t>
      </w:r>
      <w:r w:rsidR="001C5BD1">
        <w:t xml:space="preserve"> </w:t>
      </w:r>
      <w:r w:rsidR="00671317">
        <w:t>&lt;</w:t>
      </w:r>
      <w:r w:rsidR="00671317" w:rsidRPr="00C16574">
        <w:t>http://globalinitiative-escr.org/wp-content/uploads/2015/02/150219-Philippines-Complaint-Corazon-de-Jesus.pdf</w:t>
      </w:r>
      <w:r w:rsidR="00671317">
        <w:t>&gt;</w:t>
      </w:r>
      <w:r w:rsidR="00671317">
        <w:tab/>
      </w:r>
    </w:p>
    <w:p w:rsidR="00671317" w:rsidRDefault="00671317" w:rsidP="00671317">
      <w:r>
        <w:rPr>
          <w:i/>
        </w:rPr>
        <w:t>Republic of Philippines v. CA</w:t>
      </w:r>
      <w:r w:rsidR="00E60978">
        <w:t>, G.G. No. 146587, 2 July 2002</w:t>
      </w:r>
    </w:p>
    <w:p w:rsidR="00671317" w:rsidRDefault="00671317" w:rsidP="006A3EBE">
      <w:pPr>
        <w:pStyle w:val="AllensHeading2"/>
      </w:pPr>
      <w:bookmarkStart w:id="101" w:name="_Toc490144188"/>
      <w:bookmarkStart w:id="102" w:name="_Toc486677148"/>
      <w:bookmarkStart w:id="103" w:name="_Toc513116268"/>
      <w:r>
        <w:t>Books, Journal Articles, Papers and Reports</w:t>
      </w:r>
      <w:bookmarkEnd w:id="101"/>
      <w:bookmarkEnd w:id="102"/>
      <w:bookmarkEnd w:id="103"/>
    </w:p>
    <w:p w:rsidR="00671317" w:rsidRDefault="00671317" w:rsidP="00671317">
      <w:r>
        <w:rPr>
          <w:lang w:val="en-US"/>
        </w:rPr>
        <w:t xml:space="preserve">Alcorn, </w:t>
      </w:r>
      <w:r w:rsidR="00816424">
        <w:rPr>
          <w:lang w:val="en-US"/>
        </w:rPr>
        <w:t>Janis</w:t>
      </w:r>
      <w:r w:rsidR="00816424" w:rsidRPr="00816424">
        <w:rPr>
          <w:lang w:val="en-US"/>
        </w:rPr>
        <w:t xml:space="preserve">, </w:t>
      </w:r>
      <w:r w:rsidR="00816424" w:rsidRPr="00816424">
        <w:rPr>
          <w:i/>
          <w:lang w:val="en-US"/>
        </w:rPr>
        <w:t>Tenure and Indigenous Peoples: The Importance of Self-Determination, Territory, and</w:t>
      </w:r>
      <w:r w:rsidR="00816424" w:rsidRPr="00816424">
        <w:rPr>
          <w:lang w:val="en-US"/>
        </w:rPr>
        <w:t xml:space="preserve"> </w:t>
      </w:r>
      <w:r w:rsidR="00816424" w:rsidRPr="00816424">
        <w:rPr>
          <w:i/>
          <w:lang w:val="en-US"/>
        </w:rPr>
        <w:t>Rights to Land and Other Natural Resources</w:t>
      </w:r>
      <w:r w:rsidR="00192AD7">
        <w:rPr>
          <w:lang w:val="en-US"/>
        </w:rPr>
        <w:t xml:space="preserve"> (1 July 2013)</w:t>
      </w:r>
      <w:r w:rsidR="00816424" w:rsidRPr="00816424">
        <w:rPr>
          <w:lang w:val="en-US"/>
        </w:rPr>
        <w:t xml:space="preserve"> US Aid &lt;</w:t>
      </w:r>
      <w:r w:rsidR="00816424" w:rsidRPr="00C16574">
        <w:t>https://www.land-links.org/issue-brief/tenure-and-indigenous-peoples/</w:t>
      </w:r>
      <w:r w:rsidR="00E60978">
        <w:rPr>
          <w:lang w:val="en-US"/>
        </w:rPr>
        <w:t>&gt;</w:t>
      </w:r>
    </w:p>
    <w:p w:rsidR="00671317" w:rsidRDefault="00C74465" w:rsidP="00671317">
      <w:r>
        <w:t xml:space="preserve">Andersen, Kristen Ewers, </w:t>
      </w:r>
      <w:r w:rsidRPr="001F77AB">
        <w:rPr>
          <w:i/>
        </w:rPr>
        <w:t>Communal Tenure and the Governance of Common Property Resources in Asia: Lessons from Ex</w:t>
      </w:r>
      <w:r>
        <w:rPr>
          <w:i/>
        </w:rPr>
        <w:t xml:space="preserve">periences in Selected Countries </w:t>
      </w:r>
      <w:r w:rsidRPr="00C14DFE">
        <w:t>(Land Tenure Working Paper 20, April 2011, Food and Agriculture Orga</w:t>
      </w:r>
      <w:r>
        <w:t>nization of the United Nations) &lt;</w:t>
      </w:r>
      <w:r w:rsidRPr="00C16574">
        <w:t>http://www.fao.org/docrep/014/am658e/am658e00.pdf</w:t>
      </w:r>
      <w:r w:rsidR="00E60978">
        <w:t>&gt;</w:t>
      </w:r>
    </w:p>
    <w:p w:rsidR="00EB7292" w:rsidRDefault="00EB7292" w:rsidP="00671317">
      <w:r w:rsidRPr="00EB7292">
        <w:t>Antonio Jr,</w:t>
      </w:r>
      <w:r>
        <w:t xml:space="preserve"> Jaime,</w:t>
      </w:r>
      <w:r w:rsidRPr="00EB7292">
        <w:t xml:space="preserve"> </w:t>
      </w:r>
      <w:r w:rsidRPr="00EB7292">
        <w:rPr>
          <w:i/>
        </w:rPr>
        <w:t>Republic of the Philippines Gender and Development Mainstreaming Country Gender Assessment 2012</w:t>
      </w:r>
      <w:r w:rsidRPr="00EB7292">
        <w:t>, Philippines' March 2014 the International Bank for Reconstruction and Development</w:t>
      </w:r>
      <w:r>
        <w:t xml:space="preserve"> </w:t>
      </w:r>
      <w:r w:rsidRPr="00EB7292">
        <w:t>/</w:t>
      </w:r>
      <w:r>
        <w:t xml:space="preserve"> </w:t>
      </w:r>
      <w:r w:rsidRPr="00EB7292">
        <w:t>The Wo</w:t>
      </w:r>
      <w:r w:rsidR="00E60978">
        <w:t>rld Bank, East Asia and Pacific</w:t>
      </w:r>
    </w:p>
    <w:p w:rsidR="00B2375B" w:rsidRDefault="00B2375B" w:rsidP="00671317">
      <w:proofErr w:type="spellStart"/>
      <w:r>
        <w:t>Bejeno</w:t>
      </w:r>
      <w:proofErr w:type="spellEnd"/>
      <w:r>
        <w:t xml:space="preserve">, Cynthia </w:t>
      </w:r>
      <w:proofErr w:type="spellStart"/>
      <w:r>
        <w:t>Embido</w:t>
      </w:r>
      <w:proofErr w:type="spellEnd"/>
      <w:r>
        <w:t xml:space="preserve">, </w:t>
      </w:r>
      <w:r w:rsidRPr="00732EEC">
        <w:rPr>
          <w:i/>
        </w:rPr>
        <w:t>Land Reform Governance and the Filipino Peasant Women: Policy Changes, Impacts and Challenges</w:t>
      </w:r>
      <w:r w:rsidR="000E1C8D">
        <w:t xml:space="preserve"> (March 2016) </w:t>
      </w:r>
      <w:proofErr w:type="gramStart"/>
      <w:r w:rsidR="000E1C8D">
        <w:t>The</w:t>
      </w:r>
      <w:proofErr w:type="gramEnd"/>
      <w:r w:rsidR="000E1C8D">
        <w:t xml:space="preserve"> World </w:t>
      </w:r>
      <w:r>
        <w:t xml:space="preserve">Bank, Washington DC </w:t>
      </w:r>
    </w:p>
    <w:p w:rsidR="00B2375B" w:rsidRDefault="00B2375B" w:rsidP="00671317">
      <w:pPr>
        <w:rPr>
          <w:lang w:val="en-US"/>
        </w:rPr>
      </w:pPr>
      <w:proofErr w:type="spellStart"/>
      <w:r>
        <w:t>Buban</w:t>
      </w:r>
      <w:proofErr w:type="spellEnd"/>
      <w:r>
        <w:t xml:space="preserve">, Charles E, </w:t>
      </w:r>
      <w:r w:rsidRPr="00806EA2">
        <w:rPr>
          <w:i/>
        </w:rPr>
        <w:t>Informal Settlements as New Growth Areas</w:t>
      </w:r>
      <w:r w:rsidR="00192AD7">
        <w:t xml:space="preserve">, September 2015 </w:t>
      </w:r>
      <w:r>
        <w:t>&lt;</w:t>
      </w:r>
      <w:r w:rsidRPr="00C16574">
        <w:t>http://business.inquirer.net/198531/informal-settlements-as-new-growth-areas</w:t>
      </w:r>
      <w:r w:rsidR="00E60978">
        <w:t>&gt;</w:t>
      </w:r>
    </w:p>
    <w:p w:rsidR="007248FC" w:rsidRDefault="007248FC" w:rsidP="00671317">
      <w:pPr>
        <w:rPr>
          <w:lang w:val="en-US"/>
        </w:rPr>
      </w:pPr>
      <w:r>
        <w:rPr>
          <w:lang w:val="en-US"/>
        </w:rPr>
        <w:t xml:space="preserve">Burton, </w:t>
      </w:r>
      <w:proofErr w:type="spellStart"/>
      <w:r>
        <w:rPr>
          <w:lang w:val="en-US"/>
        </w:rPr>
        <w:t>Erlinda</w:t>
      </w:r>
      <w:proofErr w:type="spellEnd"/>
      <w:r>
        <w:rPr>
          <w:lang w:val="en-US"/>
        </w:rPr>
        <w:t xml:space="preserve"> M, </w:t>
      </w:r>
      <w:r>
        <w:rPr>
          <w:i/>
          <w:lang w:val="en-US"/>
        </w:rPr>
        <w:t xml:space="preserve">The Concept of Justice among the Indigenous Communities of Northeastern Mindanao: A Comparative Study of Customary law and Resolution of Conflicts </w:t>
      </w:r>
      <w:r>
        <w:rPr>
          <w:lang w:val="en-US"/>
        </w:rPr>
        <w:t>(Research institute for Mindanao Culture, Xavier University, 1991)</w:t>
      </w:r>
    </w:p>
    <w:p w:rsidR="005E71AE" w:rsidRPr="005E71AE" w:rsidRDefault="005E71AE" w:rsidP="00671317">
      <w:proofErr w:type="spellStart"/>
      <w:r>
        <w:t>Comafay</w:t>
      </w:r>
      <w:proofErr w:type="spellEnd"/>
      <w:r>
        <w:t xml:space="preserve">, Melisa Jane B and Maria </w:t>
      </w:r>
      <w:proofErr w:type="spellStart"/>
      <w:r>
        <w:t>Veronia</w:t>
      </w:r>
      <w:proofErr w:type="spellEnd"/>
      <w:r>
        <w:t xml:space="preserve"> </w:t>
      </w:r>
      <w:proofErr w:type="spellStart"/>
      <w:r>
        <w:t>Arreza-Archillaare</w:t>
      </w:r>
      <w:proofErr w:type="spellEnd"/>
      <w:r>
        <w:t xml:space="preserve">, </w:t>
      </w:r>
      <w:r w:rsidRPr="00E2174A">
        <w:rPr>
          <w:i/>
        </w:rPr>
        <w:t xml:space="preserve">We Reap the </w:t>
      </w:r>
      <w:proofErr w:type="spellStart"/>
      <w:r w:rsidRPr="00E2174A">
        <w:rPr>
          <w:i/>
        </w:rPr>
        <w:t>Disbenefits</w:t>
      </w:r>
      <w:proofErr w:type="spellEnd"/>
      <w:r w:rsidRPr="00E2174A">
        <w:rPr>
          <w:i/>
        </w:rPr>
        <w:t xml:space="preserve"> of our Inadequate Institutions </w:t>
      </w:r>
      <w:proofErr w:type="gramStart"/>
      <w:r w:rsidRPr="00E2174A">
        <w:rPr>
          <w:i/>
        </w:rPr>
        <w:t>During</w:t>
      </w:r>
      <w:proofErr w:type="gramEnd"/>
      <w:r w:rsidRPr="00E2174A">
        <w:rPr>
          <w:i/>
        </w:rPr>
        <w:t xml:space="preserve"> Disasters: A Closer Look at House, Land and Property Rights (HLP) Issues in the Context of </w:t>
      </w:r>
      <w:proofErr w:type="spellStart"/>
      <w:r w:rsidRPr="00E2174A">
        <w:rPr>
          <w:i/>
        </w:rPr>
        <w:t>Marawi</w:t>
      </w:r>
      <w:proofErr w:type="spellEnd"/>
    </w:p>
    <w:p w:rsidR="00B2375B" w:rsidRDefault="00B2375B" w:rsidP="00671317">
      <w:r>
        <w:t xml:space="preserve">Corral, Violeta P, </w:t>
      </w:r>
      <w:r w:rsidRPr="00732EEC">
        <w:rPr>
          <w:i/>
        </w:rPr>
        <w:t>Paper: Analysis of Land Tools in the Philippines Using Gender Evaluation Criteria</w:t>
      </w:r>
      <w:r w:rsidRPr="00732EEC">
        <w:t>,</w:t>
      </w:r>
      <w:r>
        <w:t xml:space="preserve"> June 2015 (prepared for 2015 World Bank Conference on Land and Poverty) &lt;</w:t>
      </w:r>
      <w:r w:rsidRPr="00C16574">
        <w:t>http://asianfarmers.org/paper-analysis-of-land-tools-in-the-philippines-using-gender-evaluation-criteria/</w:t>
      </w:r>
      <w:r>
        <w:t>&gt;</w:t>
      </w:r>
    </w:p>
    <w:p w:rsidR="00671317" w:rsidRDefault="00671317" w:rsidP="00671317">
      <w:pPr>
        <w:rPr>
          <w:rStyle w:val="FooterChar"/>
          <w:sz w:val="20"/>
        </w:rPr>
      </w:pPr>
      <w:r w:rsidRPr="001C5BD1">
        <w:rPr>
          <w:rStyle w:val="FooterChar"/>
          <w:sz w:val="20"/>
        </w:rPr>
        <w:t xml:space="preserve">Cotula, Lorenzo, </w:t>
      </w:r>
      <w:r w:rsidRPr="001C5BD1">
        <w:rPr>
          <w:rStyle w:val="FooterChar"/>
          <w:i/>
          <w:sz w:val="20"/>
        </w:rPr>
        <w:t>Gender and Law-Women‘s Rights in Agriculture</w:t>
      </w:r>
      <w:r w:rsidRPr="001C5BD1">
        <w:rPr>
          <w:rStyle w:val="FooterChar"/>
          <w:sz w:val="20"/>
        </w:rPr>
        <w:t xml:space="preserve"> (FAO Legislative S</w:t>
      </w:r>
      <w:r w:rsidR="00E60978">
        <w:rPr>
          <w:rStyle w:val="FooterChar"/>
          <w:sz w:val="20"/>
        </w:rPr>
        <w:t>tudy 76, Revised Version, 2007)</w:t>
      </w:r>
    </w:p>
    <w:p w:rsidR="00C74465" w:rsidRPr="001C5BD1" w:rsidRDefault="00C74465" w:rsidP="00671317">
      <w:pPr>
        <w:rPr>
          <w:lang w:val="en-US"/>
        </w:rPr>
      </w:pPr>
      <w:proofErr w:type="spellStart"/>
      <w:r>
        <w:rPr>
          <w:lang w:val="en-US"/>
        </w:rPr>
        <w:t>Eleazar</w:t>
      </w:r>
      <w:proofErr w:type="spellEnd"/>
      <w:r>
        <w:rPr>
          <w:lang w:val="en-US"/>
        </w:rPr>
        <w:t xml:space="preserve">, </w:t>
      </w:r>
      <w:proofErr w:type="spellStart"/>
      <w:r>
        <w:rPr>
          <w:lang w:val="en-US"/>
        </w:rPr>
        <w:t>Floradema</w:t>
      </w:r>
      <w:proofErr w:type="spellEnd"/>
      <w:r>
        <w:rPr>
          <w:lang w:val="en-US"/>
        </w:rPr>
        <w:t xml:space="preserve"> C, Brian </w:t>
      </w:r>
      <w:proofErr w:type="spellStart"/>
      <w:r>
        <w:rPr>
          <w:lang w:val="en-US"/>
        </w:rPr>
        <w:t>Carcia</w:t>
      </w:r>
      <w:proofErr w:type="spellEnd"/>
      <w:r>
        <w:rPr>
          <w:lang w:val="en-US"/>
        </w:rPr>
        <w:t xml:space="preserve">, Ernie </w:t>
      </w:r>
      <w:proofErr w:type="spellStart"/>
      <w:r>
        <w:rPr>
          <w:lang w:val="en-US"/>
        </w:rPr>
        <w:t>Guiang</w:t>
      </w:r>
      <w:proofErr w:type="spellEnd"/>
      <w:r>
        <w:rPr>
          <w:lang w:val="en-US"/>
        </w:rPr>
        <w:t xml:space="preserve">, </w:t>
      </w:r>
      <w:proofErr w:type="spellStart"/>
      <w:r>
        <w:rPr>
          <w:lang w:val="en-US"/>
        </w:rPr>
        <w:t>Annabbelle</w:t>
      </w:r>
      <w:proofErr w:type="spellEnd"/>
      <w:r>
        <w:rPr>
          <w:lang w:val="en-US"/>
        </w:rPr>
        <w:t xml:space="preserve"> Herrera, Linda D </w:t>
      </w:r>
      <w:proofErr w:type="spellStart"/>
      <w:r>
        <w:rPr>
          <w:lang w:val="en-US"/>
        </w:rPr>
        <w:t>Isorena</w:t>
      </w:r>
      <w:proofErr w:type="spellEnd"/>
      <w:r>
        <w:rPr>
          <w:lang w:val="en-US"/>
        </w:rPr>
        <w:t xml:space="preserve">, </w:t>
      </w:r>
      <w:proofErr w:type="spellStart"/>
      <w:r>
        <w:rPr>
          <w:lang w:val="en-US"/>
        </w:rPr>
        <w:t>Roel</w:t>
      </w:r>
      <w:proofErr w:type="spellEnd"/>
      <w:r>
        <w:rPr>
          <w:lang w:val="en-US"/>
        </w:rPr>
        <w:t xml:space="preserve"> </w:t>
      </w:r>
      <w:proofErr w:type="spellStart"/>
      <w:r>
        <w:rPr>
          <w:lang w:val="en-US"/>
        </w:rPr>
        <w:t>Ravanera</w:t>
      </w:r>
      <w:proofErr w:type="spellEnd"/>
      <w:r>
        <w:rPr>
          <w:lang w:val="en-US"/>
        </w:rPr>
        <w:t xml:space="preserve"> and Ernesto </w:t>
      </w:r>
      <w:proofErr w:type="spellStart"/>
      <w:r>
        <w:rPr>
          <w:lang w:val="en-US"/>
        </w:rPr>
        <w:t>Serote</w:t>
      </w:r>
      <w:proofErr w:type="spellEnd"/>
      <w:r>
        <w:rPr>
          <w:lang w:val="en-US"/>
        </w:rPr>
        <w:t xml:space="preserve">, </w:t>
      </w:r>
      <w:r w:rsidRPr="001F77AB">
        <w:rPr>
          <w:i/>
          <w:lang w:val="en-US"/>
        </w:rPr>
        <w:t>Improving Land Sector Governance in the Philippines – Implementation of Land Governance Assessment Framework (LGAF)</w:t>
      </w:r>
      <w:r>
        <w:rPr>
          <w:lang w:val="en-US"/>
        </w:rPr>
        <w:t xml:space="preserve"> (August 2013)</w:t>
      </w:r>
    </w:p>
    <w:p w:rsidR="00C74465" w:rsidRPr="00C74465" w:rsidRDefault="00671317" w:rsidP="00C74465">
      <w:pPr>
        <w:rPr>
          <w:lang w:val="en-US"/>
        </w:rPr>
      </w:pPr>
      <w:r>
        <w:rPr>
          <w:lang w:val="en-US"/>
        </w:rPr>
        <w:lastRenderedPageBreak/>
        <w:t xml:space="preserve">Fitzpatrick, </w:t>
      </w:r>
      <w:r w:rsidR="00C74465">
        <w:rPr>
          <w:lang w:val="en-US"/>
        </w:rPr>
        <w:t>Daniel</w:t>
      </w:r>
      <w:r w:rsidR="00C74465" w:rsidRPr="00C74465">
        <w:rPr>
          <w:lang w:val="en-US"/>
        </w:rPr>
        <w:t xml:space="preserve"> and Caroline Compton, </w:t>
      </w:r>
      <w:r w:rsidR="00C74465" w:rsidRPr="00C74465">
        <w:rPr>
          <w:i/>
          <w:lang w:val="en-US"/>
        </w:rPr>
        <w:t>Beyond Safe Land: Why Security of Land Tenure is Crucial for the Philippines' Post-Haiyan Recovery</w:t>
      </w:r>
      <w:r w:rsidR="00C74465" w:rsidRPr="00C74465">
        <w:rPr>
          <w:lang w:val="en-US"/>
        </w:rPr>
        <w:t xml:space="preserve"> (August 2014) Join</w:t>
      </w:r>
      <w:r w:rsidR="00C74465">
        <w:rPr>
          <w:lang w:val="en-US"/>
        </w:rPr>
        <w:t>t Agency Briefing Paper, Oxfam</w:t>
      </w:r>
    </w:p>
    <w:p w:rsidR="00FC5408" w:rsidRDefault="00FC5408" w:rsidP="00671317">
      <w:r>
        <w:t xml:space="preserve">Internal Displacement Monitoring Centre and Norwegian Refugee Council, </w:t>
      </w:r>
      <w:r>
        <w:rPr>
          <w:i/>
        </w:rPr>
        <w:t>Philippines: Displacement Increases as Mindanao's Peace Process Stumbles On: A Profile of the Internal Displacement Situation</w:t>
      </w:r>
      <w:r>
        <w:t xml:space="preserve"> (19 August 2008) &lt;</w:t>
      </w:r>
      <w:r w:rsidRPr="00C16574">
        <w:t>http://www.refworld.org/pdfid/48abc1f72.pdf</w:t>
      </w:r>
      <w:r>
        <w:t>&gt;</w:t>
      </w:r>
    </w:p>
    <w:p w:rsidR="00C74465" w:rsidRDefault="00C74465" w:rsidP="00671317">
      <w:r>
        <w:t xml:space="preserve">International Federation for Human Rights, </w:t>
      </w:r>
      <w:r w:rsidRPr="001F77AB">
        <w:rPr>
          <w:i/>
        </w:rPr>
        <w:t>Report: International Fact-finding Mission in cooperation with the Philippine Alliance of Human Rights Advocates (PAHRA) and the International Rehabilitation Council for Torture Victims (IRCT)</w:t>
      </w:r>
      <w:r>
        <w:t xml:space="preserve"> (April 2008) </w:t>
      </w:r>
    </w:p>
    <w:p w:rsidR="00C74465" w:rsidRDefault="00C74465" w:rsidP="00671317">
      <w:r>
        <w:t xml:space="preserve">Jason Christopher </w:t>
      </w:r>
      <w:proofErr w:type="spellStart"/>
      <w:r>
        <w:t>Rayos</w:t>
      </w:r>
      <w:proofErr w:type="spellEnd"/>
      <w:r>
        <w:t xml:space="preserve"> Co, </w:t>
      </w:r>
      <w:r w:rsidRPr="001F77AB">
        <w:rPr>
          <w:i/>
        </w:rPr>
        <w:t>Community-driven disaster intervention: Experiences of the Homeless People's Federation Philippines, Incorporated (HPFPI)</w:t>
      </w:r>
      <w:r w:rsidRPr="00332037">
        <w:t xml:space="preserve"> (September 2012) Human Settlements Working Paper Series</w:t>
      </w:r>
      <w:r>
        <w:t>, Climate Change and Cities</w:t>
      </w:r>
    </w:p>
    <w:p w:rsidR="00816424" w:rsidRDefault="00816424" w:rsidP="00671317">
      <w:r>
        <w:t>Kok,</w:t>
      </w:r>
      <w:r w:rsidRPr="00813E32">
        <w:t xml:space="preserve"> </w:t>
      </w:r>
      <w:r>
        <w:t xml:space="preserve">Frederik, </w:t>
      </w:r>
      <w:r w:rsidRPr="00843499">
        <w:rPr>
          <w:i/>
        </w:rPr>
        <w:t xml:space="preserve">Philippines: Why housing rights must be prioritised to end displacement of Zamboanga’s urban poor </w:t>
      </w:r>
      <w:r>
        <w:t xml:space="preserve">(January 2015) </w:t>
      </w:r>
      <w:r w:rsidRPr="00F3365E">
        <w:t>Internal Displacement Monitoring Cen</w:t>
      </w:r>
      <w:r w:rsidR="00E60978">
        <w:t>tre, Norwegian Refugee Council</w:t>
      </w:r>
    </w:p>
    <w:p w:rsidR="00671317" w:rsidRDefault="00671317" w:rsidP="00671317">
      <w:proofErr w:type="spellStart"/>
      <w:r w:rsidRPr="00813E32">
        <w:t>Kok</w:t>
      </w:r>
      <w:proofErr w:type="spellEnd"/>
      <w:r w:rsidRPr="00813E32">
        <w:t xml:space="preserve">, </w:t>
      </w:r>
      <w:proofErr w:type="spellStart"/>
      <w:r w:rsidR="00816424">
        <w:t>Frederik</w:t>
      </w:r>
      <w:proofErr w:type="spellEnd"/>
      <w:r w:rsidR="00816424">
        <w:t>,</w:t>
      </w:r>
      <w:r w:rsidR="00816424" w:rsidRPr="00813E32">
        <w:t xml:space="preserve"> Ernesto </w:t>
      </w:r>
      <w:proofErr w:type="spellStart"/>
      <w:r w:rsidR="00816424" w:rsidRPr="00813E32">
        <w:t>Anasarias</w:t>
      </w:r>
      <w:proofErr w:type="spellEnd"/>
      <w:r w:rsidR="00816424" w:rsidRPr="00813E32">
        <w:t xml:space="preserve"> and Ma</w:t>
      </w:r>
      <w:r w:rsidR="00816424">
        <w:t xml:space="preserve">ria Cecilia Kristina M Africa, </w:t>
      </w:r>
      <w:r w:rsidR="00816424" w:rsidRPr="00843499">
        <w:rPr>
          <w:i/>
        </w:rPr>
        <w:t xml:space="preserve">Living in the Shadows: Displaced </w:t>
      </w:r>
      <w:proofErr w:type="spellStart"/>
      <w:r w:rsidR="00816424" w:rsidRPr="00843499">
        <w:rPr>
          <w:i/>
        </w:rPr>
        <w:t>Lumads</w:t>
      </w:r>
      <w:proofErr w:type="spellEnd"/>
      <w:r w:rsidR="00816424" w:rsidRPr="00843499">
        <w:rPr>
          <w:i/>
        </w:rPr>
        <w:t xml:space="preserve"> Locked in a Cycle of Poverty</w:t>
      </w:r>
      <w:r w:rsidR="00816424">
        <w:t xml:space="preserve"> (August 2013) </w:t>
      </w:r>
      <w:r w:rsidR="00816424" w:rsidRPr="00813E32">
        <w:t>Internal Displacement Monitoring Centre, Norwegian Refugee Council</w:t>
      </w:r>
    </w:p>
    <w:p w:rsidR="00671317" w:rsidRDefault="005E71AE" w:rsidP="00671317">
      <w:proofErr w:type="spellStart"/>
      <w:r>
        <w:t>Lazo</w:t>
      </w:r>
      <w:proofErr w:type="spellEnd"/>
      <w:r>
        <w:t xml:space="preserve">, Ricardo S, </w:t>
      </w:r>
      <w:r>
        <w:rPr>
          <w:i/>
        </w:rPr>
        <w:t xml:space="preserve">Philippines Governance and the 1987 Constitution </w:t>
      </w:r>
      <w:r>
        <w:t>(Rex Book Store, Manila, Philippines, 2006</w:t>
      </w:r>
      <w:r w:rsidR="00E60978">
        <w:t>)</w:t>
      </w:r>
    </w:p>
    <w:p w:rsidR="0018102E" w:rsidRDefault="0018102E" w:rsidP="00671317">
      <w:r w:rsidRPr="00BD3CBA">
        <w:t>Lindfield</w:t>
      </w:r>
      <w:r w:rsidR="00EB7292">
        <w:t>, Michael</w:t>
      </w:r>
      <w:r>
        <w:t xml:space="preserve"> and </w:t>
      </w:r>
      <w:proofErr w:type="spellStart"/>
      <w:r>
        <w:t>R</w:t>
      </w:r>
      <w:r w:rsidR="00EB7292">
        <w:t>amola</w:t>
      </w:r>
      <w:proofErr w:type="spellEnd"/>
      <w:r w:rsidRPr="00BD3CBA">
        <w:t xml:space="preserve"> </w:t>
      </w:r>
      <w:proofErr w:type="spellStart"/>
      <w:r w:rsidRPr="00BD3CBA">
        <w:t>Naik</w:t>
      </w:r>
      <w:proofErr w:type="spellEnd"/>
      <w:r w:rsidRPr="00BD3CBA">
        <w:t xml:space="preserve"> </w:t>
      </w:r>
      <w:proofErr w:type="spellStart"/>
      <w:r w:rsidRPr="00BD3CBA">
        <w:t>Singru</w:t>
      </w:r>
      <w:proofErr w:type="spellEnd"/>
      <w:r>
        <w:t xml:space="preserve">, </w:t>
      </w:r>
      <w:r w:rsidR="00EB7292" w:rsidRPr="00396D5C">
        <w:rPr>
          <w:i/>
        </w:rPr>
        <w:t>Republic of the Philippines National Urban Assessment</w:t>
      </w:r>
      <w:r w:rsidR="00EB7292">
        <w:t>,</w:t>
      </w:r>
      <w:r w:rsidR="00EB7292" w:rsidRPr="00BD3CBA">
        <w:t xml:space="preserve"> A</w:t>
      </w:r>
      <w:r w:rsidR="00EB7292">
        <w:t>sian Development Bank (2015) &lt;</w:t>
      </w:r>
      <w:r w:rsidR="00EB7292" w:rsidRPr="00C16574">
        <w:t>https://www.adb.org/sites/default/files/publication/42817/philippines-national-urban-assessment.pdf</w:t>
      </w:r>
      <w:r w:rsidR="00E60978">
        <w:t>&gt;</w:t>
      </w:r>
    </w:p>
    <w:p w:rsidR="00671317" w:rsidRDefault="00671317" w:rsidP="00671317">
      <w:pPr>
        <w:rPr>
          <w:i/>
        </w:rPr>
      </w:pPr>
      <w:proofErr w:type="spellStart"/>
      <w:r>
        <w:t>Mabilin</w:t>
      </w:r>
      <w:proofErr w:type="spellEnd"/>
      <w:r>
        <w:t xml:space="preserve">, Myra, </w:t>
      </w:r>
      <w:r w:rsidR="00FC5408" w:rsidRPr="00E2174A">
        <w:rPr>
          <w:i/>
        </w:rPr>
        <w:t>Claiming the City: Civil Society Mobilisation by the Urban Poor</w:t>
      </w:r>
      <w:r w:rsidR="00FC5408">
        <w:t xml:space="preserve"> (2014) Heidi </w:t>
      </w:r>
      <w:proofErr w:type="spellStart"/>
      <w:r w:rsidR="00FC5408">
        <w:t>Moksnes</w:t>
      </w:r>
      <w:proofErr w:type="spellEnd"/>
      <w:r w:rsidR="00FC5408">
        <w:t xml:space="preserve"> and Mia </w:t>
      </w:r>
      <w:proofErr w:type="spellStart"/>
      <w:r w:rsidR="00FC5408">
        <w:t>Melin</w:t>
      </w:r>
      <w:proofErr w:type="spellEnd"/>
      <w:r w:rsidR="00FC5408">
        <w:t xml:space="preserve"> (</w:t>
      </w:r>
      <w:proofErr w:type="spellStart"/>
      <w:proofErr w:type="gramStart"/>
      <w:r w:rsidR="00FC5408">
        <w:t>eds</w:t>
      </w:r>
      <w:proofErr w:type="spellEnd"/>
      <w:proofErr w:type="gramEnd"/>
      <w:r w:rsidR="00FC5408">
        <w:t xml:space="preserve">), </w:t>
      </w:r>
      <w:r w:rsidR="00FC5408" w:rsidRPr="00E2174A">
        <w:t>Uppsala: Uppsala University</w:t>
      </w:r>
      <w:r w:rsidR="00FC5408">
        <w:t xml:space="preserve"> </w:t>
      </w:r>
      <w:r w:rsidRPr="00FC5408">
        <w:t>ISSN 1403-1264</w:t>
      </w:r>
    </w:p>
    <w:p w:rsidR="007248FC" w:rsidRDefault="007248FC" w:rsidP="00671317">
      <w:proofErr w:type="spellStart"/>
      <w:r>
        <w:t>Molintas</w:t>
      </w:r>
      <w:proofErr w:type="spellEnd"/>
      <w:r>
        <w:t xml:space="preserve">, Jose </w:t>
      </w:r>
      <w:proofErr w:type="spellStart"/>
      <w:r>
        <w:t>Mencio</w:t>
      </w:r>
      <w:proofErr w:type="spellEnd"/>
      <w:r>
        <w:t xml:space="preserve">, </w:t>
      </w:r>
      <w:proofErr w:type="gramStart"/>
      <w:r w:rsidRPr="00806EA2">
        <w:rPr>
          <w:i/>
        </w:rPr>
        <w:t>The</w:t>
      </w:r>
      <w:proofErr w:type="gramEnd"/>
      <w:r w:rsidRPr="00806EA2">
        <w:rPr>
          <w:i/>
        </w:rPr>
        <w:t xml:space="preserve"> Philippine Indigenous Peoples' Struggle for Land and Life: Challenging Legal Texts</w:t>
      </w:r>
      <w:r>
        <w:t xml:space="preserve"> (2004) 21 </w:t>
      </w:r>
      <w:r w:rsidRPr="00806EA2">
        <w:t>Arizona Journal of International and Comparative Law</w:t>
      </w:r>
      <w:r>
        <w:t xml:space="preserve"> 269</w:t>
      </w:r>
    </w:p>
    <w:p w:rsidR="007248FC" w:rsidRDefault="007248FC" w:rsidP="00671317">
      <w:proofErr w:type="spellStart"/>
      <w:r>
        <w:t>Nakamura</w:t>
      </w:r>
      <w:proofErr w:type="gramStart"/>
      <w:r>
        <w:t>,Shohei</w:t>
      </w:r>
      <w:proofErr w:type="spellEnd"/>
      <w:proofErr w:type="gramEnd"/>
      <w:r>
        <w:t xml:space="preserve">, </w:t>
      </w:r>
      <w:r w:rsidRPr="00806EA2">
        <w:rPr>
          <w:i/>
        </w:rPr>
        <w:t>Spatial Analysis of Urban Poverty in Manila, Philippines</w:t>
      </w:r>
      <w:r>
        <w:t xml:space="preserve"> (May 2009) &lt;</w:t>
      </w:r>
      <w:r w:rsidRPr="00C16574">
        <w:t>https://courses.cit.cornell.edu/crp408/papers/nakamura.pdf</w:t>
      </w:r>
      <w:r>
        <w:t>&gt;.</w:t>
      </w:r>
    </w:p>
    <w:p w:rsidR="00C74465" w:rsidRDefault="00C74465" w:rsidP="00671317">
      <w:proofErr w:type="spellStart"/>
      <w:r>
        <w:t>Quizon</w:t>
      </w:r>
      <w:proofErr w:type="spellEnd"/>
      <w:r>
        <w:t xml:space="preserve">, Antonio B, and Jose Ignatius </w:t>
      </w:r>
      <w:proofErr w:type="spellStart"/>
      <w:r>
        <w:t>Pagsanghan</w:t>
      </w:r>
      <w:proofErr w:type="spellEnd"/>
      <w:r>
        <w:t xml:space="preserve">, </w:t>
      </w:r>
      <w:r w:rsidRPr="001F77AB">
        <w:rPr>
          <w:i/>
        </w:rPr>
        <w:t>Review of Selected Land Laws and the Governance of Tenure in the Philippines: Discussion Paper in the Context of the Voluntary Guidelines on</w:t>
      </w:r>
      <w:r>
        <w:rPr>
          <w:i/>
        </w:rPr>
        <w:t xml:space="preserve"> the Governance of Tenure (VGGT</w:t>
      </w:r>
      <w:r w:rsidRPr="001F77AB">
        <w:rPr>
          <w:i/>
        </w:rPr>
        <w:t>)</w:t>
      </w:r>
      <w:r>
        <w:t xml:space="preserve">, (Deutsche </w:t>
      </w:r>
      <w:proofErr w:type="spellStart"/>
      <w:r>
        <w:t>Gesellschaft</w:t>
      </w:r>
      <w:proofErr w:type="spellEnd"/>
      <w:r>
        <w:t xml:space="preserve"> </w:t>
      </w:r>
      <w:proofErr w:type="spellStart"/>
      <w:r>
        <w:t>f</w:t>
      </w:r>
      <w:r w:rsidRPr="003C3D8F">
        <w:rPr>
          <w:rFonts w:eastAsiaTheme="minorHAnsi"/>
        </w:rPr>
        <w:t>ü</w:t>
      </w:r>
      <w:r>
        <w:t>r</w:t>
      </w:r>
      <w:proofErr w:type="spellEnd"/>
      <w:r>
        <w:t xml:space="preserve"> Internationale </w:t>
      </w:r>
      <w:proofErr w:type="spellStart"/>
      <w:r>
        <w:t>Zusammenarbeit</w:t>
      </w:r>
      <w:proofErr w:type="spellEnd"/>
      <w:r>
        <w:t xml:space="preserve"> (GIZ) / Asian NGO Coalition for Agrarian Reform and Rural Development, Philippines Development Forum, 2014)</w:t>
      </w:r>
    </w:p>
    <w:p w:rsidR="00C74465" w:rsidRDefault="000E1C8D" w:rsidP="00671317">
      <w:r>
        <w:t>Ramos, Grace C,</w:t>
      </w:r>
      <w:r w:rsidR="00C74465">
        <w:t xml:space="preserve"> </w:t>
      </w:r>
      <w:r w:rsidR="00C74465" w:rsidRPr="001F77AB">
        <w:rPr>
          <w:i/>
        </w:rPr>
        <w:t>The Urban Development and Housing Act (ADHA) of 1992 – A Philippine Housing Framework</w:t>
      </w:r>
      <w:r>
        <w:t xml:space="preserve"> (2000) </w:t>
      </w:r>
      <w:r w:rsidR="00C74465">
        <w:t>&lt;</w:t>
      </w:r>
      <w:r w:rsidR="00C74465" w:rsidRPr="00C16574">
        <w:t>http://www.lth.se/fileadmin/hdm/alumni/papers/ad2000/ad2000-12.pdf</w:t>
      </w:r>
      <w:r w:rsidR="00C74465">
        <w:t>&gt;</w:t>
      </w:r>
    </w:p>
    <w:p w:rsidR="00C74465" w:rsidRDefault="00671317" w:rsidP="00671317">
      <w:pPr>
        <w:rPr>
          <w:lang w:val="en-US"/>
        </w:rPr>
      </w:pPr>
      <w:r>
        <w:t xml:space="preserve">Roy, </w:t>
      </w:r>
      <w:r w:rsidR="00C74465">
        <w:t xml:space="preserve">Raja </w:t>
      </w:r>
      <w:proofErr w:type="spellStart"/>
      <w:r w:rsidR="00C74465">
        <w:t>Devasish</w:t>
      </w:r>
      <w:proofErr w:type="spellEnd"/>
      <w:r w:rsidR="00C74465">
        <w:t xml:space="preserve">, </w:t>
      </w:r>
      <w:r w:rsidR="00C74465" w:rsidRPr="001F77AB">
        <w:rPr>
          <w:i/>
        </w:rPr>
        <w:t>Traditional Customary laws and Indigenous Peoples in Asia</w:t>
      </w:r>
      <w:r w:rsidR="00C74465">
        <w:rPr>
          <w:lang w:val="en-US"/>
        </w:rPr>
        <w:t xml:space="preserve"> (Report, Minority Rights Group International, March 2005)</w:t>
      </w:r>
    </w:p>
    <w:p w:rsidR="00671317" w:rsidRDefault="00671317" w:rsidP="00671317">
      <w:proofErr w:type="spellStart"/>
      <w:r>
        <w:t>Sidchogan-Batani</w:t>
      </w:r>
      <w:proofErr w:type="spellEnd"/>
      <w:r>
        <w:t xml:space="preserve">, </w:t>
      </w:r>
      <w:r w:rsidR="00816424">
        <w:t xml:space="preserve">Ruth, </w:t>
      </w:r>
      <w:r w:rsidR="00816424" w:rsidRPr="00732EEC">
        <w:rPr>
          <w:i/>
        </w:rPr>
        <w:t>Implementation of the Indigenous Peoples Rights Act (IPRA) in the Philippines: Challenges and Opportunities</w:t>
      </w:r>
      <w:r w:rsidR="00816424">
        <w:t xml:space="preserve"> (Background Paper, Expert Seminar on Treaties, Agreements and Other Constructive Arrangements between States and Indigenous Peoples, Geneva, Office of the United Nations High Commissioner for Human Rights, 15–17 December 2003)</w:t>
      </w:r>
    </w:p>
    <w:p w:rsidR="00671317" w:rsidRDefault="00671317" w:rsidP="00671317">
      <w:r>
        <w:t>Thomas, Alice</w:t>
      </w:r>
      <w:r w:rsidR="005E71AE">
        <w:t>,</w:t>
      </w:r>
      <w:r>
        <w:t xml:space="preserve"> </w:t>
      </w:r>
      <w:r w:rsidR="005E71AE" w:rsidRPr="00E2174A">
        <w:rPr>
          <w:i/>
        </w:rPr>
        <w:t>Resettlement in the wake of Typhoon Haiyan in the Philippines: A strategy to mitigate risk or a risky strategy?</w:t>
      </w:r>
      <w:r w:rsidR="005E71AE">
        <w:t xml:space="preserve"> (2015) </w:t>
      </w:r>
      <w:r w:rsidR="005E71AE" w:rsidRPr="00E2174A">
        <w:t>Project on Internal Displacement, Brookings Institution</w:t>
      </w:r>
    </w:p>
    <w:p w:rsidR="00B2375B" w:rsidRDefault="00B2375B" w:rsidP="00671317">
      <w:r w:rsidRPr="00B2375B">
        <w:t>Truong</w:t>
      </w:r>
      <w:r>
        <w:t xml:space="preserve">, </w:t>
      </w:r>
      <w:proofErr w:type="spellStart"/>
      <w:r>
        <w:t>Luong</w:t>
      </w:r>
      <w:proofErr w:type="spellEnd"/>
      <w:r>
        <w:t xml:space="preserve"> </w:t>
      </w:r>
      <w:proofErr w:type="spellStart"/>
      <w:r>
        <w:t>Thi</w:t>
      </w:r>
      <w:proofErr w:type="spellEnd"/>
      <w:r w:rsidRPr="00B2375B">
        <w:t xml:space="preserve"> and </w:t>
      </w:r>
      <w:proofErr w:type="spellStart"/>
      <w:r w:rsidRPr="00B2375B">
        <w:t>Orlando</w:t>
      </w:r>
      <w:proofErr w:type="spellEnd"/>
      <w:r w:rsidRPr="00B2375B">
        <w:t xml:space="preserve"> M </w:t>
      </w:r>
      <w:proofErr w:type="spellStart"/>
      <w:r w:rsidRPr="00B2375B">
        <w:t>Genotiva</w:t>
      </w:r>
      <w:proofErr w:type="spellEnd"/>
      <w:r w:rsidRPr="00B2375B">
        <w:t xml:space="preserve">, </w:t>
      </w:r>
      <w:r w:rsidRPr="00B2375B">
        <w:rPr>
          <w:i/>
        </w:rPr>
        <w:t xml:space="preserve">Recognizing Ethnic Minority Customary Land Rights in Vietnam and the Philippines </w:t>
      </w:r>
      <w:r>
        <w:t>(Centre of People and Forests/</w:t>
      </w:r>
      <w:r w:rsidRPr="00B2375B">
        <w:t>Economic and Social Research Council, 2010)</w:t>
      </w:r>
      <w:r>
        <w:t xml:space="preserve"> </w:t>
      </w:r>
      <w:r w:rsidRPr="00B2375B">
        <w:lastRenderedPageBreak/>
        <w:t>&lt;</w:t>
      </w:r>
      <w:r w:rsidRPr="00C16574">
        <w:t>http://recoftc2.dev.dotography.net/sites/default/files/old/uploads/wysiwyg/docs/Vietnam_Briefs_Eng_PDF/RECOFTC_21July10_B5_web.pdf</w:t>
      </w:r>
      <w:r w:rsidR="00E60978">
        <w:t>&gt;</w:t>
      </w:r>
    </w:p>
    <w:p w:rsidR="00EB7292" w:rsidRDefault="00EB7292" w:rsidP="00671317">
      <w:proofErr w:type="spellStart"/>
      <w:r>
        <w:t>UNHabitat</w:t>
      </w:r>
      <w:proofErr w:type="spellEnd"/>
      <w:r>
        <w:t xml:space="preserve">, </w:t>
      </w:r>
      <w:r w:rsidRPr="00396D5C">
        <w:rPr>
          <w:i/>
        </w:rPr>
        <w:t>Country Programme Document 2008-2009 Philippines</w:t>
      </w:r>
      <w:r>
        <w:t>, United Nations Human Settlements Programme</w:t>
      </w:r>
    </w:p>
    <w:p w:rsidR="00671317" w:rsidRDefault="00671317" w:rsidP="00671317">
      <w:r>
        <w:rPr>
          <w:lang w:val="en-US"/>
        </w:rPr>
        <w:t>Vargas, Alberto,</w:t>
      </w:r>
      <w:r w:rsidR="00FB0268">
        <w:rPr>
          <w:lang w:val="en-US"/>
        </w:rPr>
        <w:t xml:space="preserve"> </w:t>
      </w:r>
      <w:r w:rsidR="00EB7292" w:rsidRPr="00396D5C">
        <w:rPr>
          <w:i/>
          <w:lang w:val="en-US"/>
        </w:rPr>
        <w:t>The Philippines Country Brief: Property Rights and Land Markets</w:t>
      </w:r>
      <w:r w:rsidR="00EB7292">
        <w:rPr>
          <w:lang w:val="en-US"/>
        </w:rPr>
        <w:t xml:space="preserve"> (March 2010) Country Brief Land Tenure Centre, University of Wisconsin-Madison </w:t>
      </w:r>
      <w:r w:rsidR="00EB7292">
        <w:t>&lt;</w:t>
      </w:r>
      <w:r w:rsidR="00EB7292" w:rsidRPr="00C16574">
        <w:t>https://nelson.wisc.edu/ltc/docs/philippinesbrief.pdf</w:t>
      </w:r>
      <w:r w:rsidR="00EB7292">
        <w:t>&gt;</w:t>
      </w:r>
    </w:p>
    <w:p w:rsidR="007055C1" w:rsidRDefault="007055C1" w:rsidP="007055C1">
      <w:pPr>
        <w:rPr>
          <w:lang w:val="en-US"/>
        </w:rPr>
      </w:pPr>
      <w:r>
        <w:t xml:space="preserve">World Intellectual Property Organisation, </w:t>
      </w:r>
      <w:r w:rsidRPr="001F77AB">
        <w:rPr>
          <w:i/>
        </w:rPr>
        <w:t>Customary Law and Traditional Knowledge</w:t>
      </w:r>
      <w:r>
        <w:rPr>
          <w:i/>
        </w:rPr>
        <w:t xml:space="preserve"> </w:t>
      </w:r>
      <w:r>
        <w:t>(Background Brief No 7, 2016) &lt;</w:t>
      </w:r>
      <w:r w:rsidRPr="00C16574">
        <w:t>http://www.wipo.int/edocs/pubdocs/en/wipo_pub_tk_7.pdf</w:t>
      </w:r>
      <w:r>
        <w:rPr>
          <w:lang w:val="en-US"/>
        </w:rPr>
        <w:t>&gt;</w:t>
      </w:r>
    </w:p>
    <w:p w:rsidR="007055C1" w:rsidRDefault="007055C1" w:rsidP="007055C1">
      <w:r w:rsidRPr="00274841">
        <w:t xml:space="preserve">World Organisation </w:t>
      </w:r>
      <w:proofErr w:type="gramStart"/>
      <w:r w:rsidRPr="00274841">
        <w:t>Against</w:t>
      </w:r>
      <w:proofErr w:type="gramEnd"/>
      <w:r w:rsidRPr="00274841">
        <w:t xml:space="preserve"> Torture, </w:t>
      </w:r>
      <w:r w:rsidRPr="001F77AB">
        <w:rPr>
          <w:i/>
        </w:rPr>
        <w:t>Addressing the Economic, Social and Cultural Root Causes of Torture and other forms of Violence in the Philippines</w:t>
      </w:r>
      <w:r>
        <w:t xml:space="preserve"> (3 November 2008) &lt;</w:t>
      </w:r>
      <w:r w:rsidRPr="00C16574">
        <w:t>http://www.refworld.org/docid/491403c52.html</w:t>
      </w:r>
      <w:r>
        <w:t>&gt;</w:t>
      </w:r>
    </w:p>
    <w:p w:rsidR="00671317" w:rsidRDefault="00671317" w:rsidP="006A3EBE">
      <w:pPr>
        <w:pStyle w:val="AllensHeading2"/>
      </w:pPr>
      <w:bookmarkStart w:id="104" w:name="_Toc490144189"/>
      <w:bookmarkStart w:id="105" w:name="_Toc486677149"/>
      <w:bookmarkStart w:id="106" w:name="_Toc513116269"/>
      <w:r>
        <w:t>Domestic Government Materials</w:t>
      </w:r>
      <w:bookmarkEnd w:id="104"/>
      <w:bookmarkEnd w:id="105"/>
      <w:bookmarkEnd w:id="106"/>
    </w:p>
    <w:p w:rsidR="00671317" w:rsidRDefault="00671317" w:rsidP="00671317">
      <w:r>
        <w:t xml:space="preserve">National Disaster Risk Reduction </w:t>
      </w:r>
      <w:r w:rsidR="001C5BD1">
        <w:t>and Management Plan (2011-2028)</w:t>
      </w:r>
      <w:r w:rsidR="00E606F7">
        <w:t xml:space="preserve"> </w:t>
      </w:r>
      <w:r w:rsidR="0018102E" w:rsidRPr="00C16574">
        <w:t>http://www.ndrrmc.gov.ph/attachments/article/41/NDRRM_Plan_2011-2028.pdf</w:t>
      </w:r>
    </w:p>
    <w:p w:rsidR="0018102E" w:rsidRDefault="0018102E" w:rsidP="00671317">
      <w:r w:rsidRPr="00BD3CBA">
        <w:t>P</w:t>
      </w:r>
      <w:r w:rsidR="00EB7292">
        <w:t xml:space="preserve">hilippine Statistics Authority, </w:t>
      </w:r>
      <w:r w:rsidR="00EB7292" w:rsidRPr="00396D5C">
        <w:rPr>
          <w:i/>
        </w:rPr>
        <w:t>Highlights of the Philippine Population 2015 Census of Population</w:t>
      </w:r>
      <w:r w:rsidR="00EB7292">
        <w:t xml:space="preserve"> (</w:t>
      </w:r>
      <w:r w:rsidR="00EB7292" w:rsidRPr="00BD3CBA">
        <w:t>2016</w:t>
      </w:r>
      <w:r w:rsidR="00EB7292">
        <w:t>) &lt;</w:t>
      </w:r>
      <w:r w:rsidR="00EB7292" w:rsidRPr="00C16574">
        <w:t>https://psa.gov.ph/content/highlights-philippine-population-2015-census-population</w:t>
      </w:r>
      <w:r w:rsidR="00E60978">
        <w:t>&gt;</w:t>
      </w:r>
    </w:p>
    <w:p w:rsidR="00B8541C" w:rsidRDefault="00B8541C" w:rsidP="006A3EBE">
      <w:pPr>
        <w:pStyle w:val="AllensHeading2"/>
      </w:pPr>
      <w:bookmarkStart w:id="107" w:name="_Toc513116270"/>
      <w:bookmarkStart w:id="108" w:name="_Toc490144190"/>
      <w:bookmarkStart w:id="109" w:name="_Toc486677150"/>
      <w:r>
        <w:t>International materials</w:t>
      </w:r>
      <w:bookmarkEnd w:id="107"/>
    </w:p>
    <w:p w:rsidR="00FB0268" w:rsidRPr="00FB0268" w:rsidRDefault="00FB0268" w:rsidP="00FB0268">
      <w:pPr>
        <w:pStyle w:val="NormalIndent"/>
        <w:ind w:left="0"/>
        <w:rPr>
          <w:rFonts w:eastAsiaTheme="minorHAnsi"/>
          <w:lang w:eastAsia="en-US"/>
        </w:rPr>
      </w:pPr>
      <w:r w:rsidRPr="00FB0268">
        <w:rPr>
          <w:rFonts w:eastAsiaTheme="minorHAnsi"/>
          <w:lang w:eastAsia="en-US"/>
        </w:rPr>
        <w:t>UN Committee on Economic, Social and Cultural Rights (CESCR),</w:t>
      </w:r>
      <w:r w:rsidRPr="00FB0268">
        <w:rPr>
          <w:rFonts w:eastAsiaTheme="minorHAnsi"/>
          <w:i/>
          <w:lang w:eastAsia="en-US"/>
        </w:rPr>
        <w:t xml:space="preserve"> Concluding observations on the combined fifth and sixth periodic reports of the Philippines</w:t>
      </w:r>
      <w:r w:rsidRPr="00FB0268">
        <w:rPr>
          <w:rFonts w:eastAsiaTheme="minorHAnsi"/>
          <w:lang w:eastAsia="en-US"/>
        </w:rPr>
        <w:t xml:space="preserve"> (26 October 2016) E/C.12/PHL/CO/5-6</w:t>
      </w:r>
    </w:p>
    <w:p w:rsidR="00671317" w:rsidRDefault="00671317" w:rsidP="006A3EBE">
      <w:pPr>
        <w:pStyle w:val="AllensHeading2"/>
      </w:pPr>
      <w:bookmarkStart w:id="110" w:name="_Toc513116271"/>
      <w:r>
        <w:t>Online News Articles and Commentary</w:t>
      </w:r>
      <w:bookmarkEnd w:id="108"/>
      <w:bookmarkEnd w:id="109"/>
      <w:bookmarkEnd w:id="110"/>
    </w:p>
    <w:p w:rsidR="00FB0268" w:rsidRDefault="00FB0268" w:rsidP="00FB0268">
      <w:r>
        <w:t xml:space="preserve">Airport World, </w:t>
      </w:r>
      <w:r w:rsidRPr="008463C0">
        <w:rPr>
          <w:i/>
        </w:rPr>
        <w:t xml:space="preserve">Philippine Government Finally Settles Manila Airport Compensation Dispute </w:t>
      </w:r>
      <w:proofErr w:type="gramStart"/>
      <w:r w:rsidRPr="008463C0">
        <w:rPr>
          <w:i/>
        </w:rPr>
        <w:t>With</w:t>
      </w:r>
      <w:proofErr w:type="gramEnd"/>
      <w:r w:rsidRPr="008463C0">
        <w:rPr>
          <w:i/>
        </w:rPr>
        <w:t xml:space="preserve"> </w:t>
      </w:r>
      <w:proofErr w:type="spellStart"/>
      <w:r w:rsidRPr="008463C0">
        <w:rPr>
          <w:i/>
        </w:rPr>
        <w:t>Piatco</w:t>
      </w:r>
      <w:proofErr w:type="spellEnd"/>
      <w:r>
        <w:t xml:space="preserve"> (11 October 2016) &lt;</w:t>
      </w:r>
      <w:r w:rsidRPr="00C16574">
        <w:t>http://www.airport-world.com/news/general-news/5849-philippines-government-finally-settles-manila-airport-compensation-dispute-with-piatco.html</w:t>
      </w:r>
      <w:r>
        <w:t>&gt;</w:t>
      </w:r>
    </w:p>
    <w:p w:rsidR="00671317" w:rsidRDefault="00FB0268" w:rsidP="001C5BD1">
      <w:pPr>
        <w:pStyle w:val="NormalIndent"/>
        <w:ind w:left="0"/>
      </w:pPr>
      <w:r>
        <w:t xml:space="preserve">Asian Human Rights Commission, </w:t>
      </w:r>
      <w:r w:rsidR="00671317" w:rsidRPr="00FB0268">
        <w:rPr>
          <w:i/>
        </w:rPr>
        <w:t>Stop demolition against Lagun</w:t>
      </w:r>
      <w:r w:rsidRPr="00FB0268">
        <w:rPr>
          <w:i/>
        </w:rPr>
        <w:t xml:space="preserve">a Lakeshore Community in </w:t>
      </w:r>
      <w:proofErr w:type="spellStart"/>
      <w:r w:rsidRPr="00FB0268">
        <w:rPr>
          <w:i/>
        </w:rPr>
        <w:t>Taguig</w:t>
      </w:r>
      <w:proofErr w:type="spellEnd"/>
      <w:r>
        <w:t xml:space="preserve"> </w:t>
      </w:r>
      <w:r w:rsidR="00671317">
        <w:t>(2015)</w:t>
      </w:r>
      <w:r w:rsidR="001C5BD1">
        <w:t xml:space="preserve"> </w:t>
      </w:r>
      <w:r w:rsidR="00671317">
        <w:t>&lt;</w:t>
      </w:r>
      <w:r w:rsidR="00671317" w:rsidRPr="00C16574">
        <w:t>http://www.humanrights.asia/news/hunger-alerts/AHRC-HAU-002-2015</w:t>
      </w:r>
      <w:r w:rsidR="00E60978">
        <w:t>&gt;</w:t>
      </w:r>
    </w:p>
    <w:p w:rsidR="00FB0268" w:rsidRDefault="00FB0268" w:rsidP="00FB0268">
      <w:r>
        <w:t>Centre on Housing Rights and Evictions (12 May 2011) &lt;</w:t>
      </w:r>
      <w:r w:rsidRPr="00C16574">
        <w:t>http://www.habitants.org/news/local_info/philippines_demolitions_and_forced_evictions_in_laperal_makati_appear_to_constitute_breaches_of_international_law</w:t>
      </w:r>
      <w:r>
        <w:t>&gt;</w:t>
      </w:r>
    </w:p>
    <w:p w:rsidR="00FB0268" w:rsidRDefault="00671317" w:rsidP="00FB0268">
      <w:pPr>
        <w:pStyle w:val="NormalIndent"/>
        <w:spacing w:line="240" w:lineRule="auto"/>
        <w:ind w:left="0"/>
      </w:pPr>
      <w:r>
        <w:t xml:space="preserve">Demolition Watch, </w:t>
      </w:r>
      <w:r w:rsidR="00FB0268" w:rsidRPr="00FB0268">
        <w:rPr>
          <w:i/>
        </w:rPr>
        <w:t>Forced Eviction Incidents</w:t>
      </w:r>
      <w:r>
        <w:t xml:space="preserve"> (2012)</w:t>
      </w:r>
      <w:r w:rsidR="001C5BD1">
        <w:t xml:space="preserve"> </w:t>
      </w:r>
      <w:r>
        <w:t>&lt;</w:t>
      </w:r>
      <w:r w:rsidRPr="00C16574">
        <w:t>https://demolitionwatch.wordpress.com/</w:t>
      </w:r>
      <w:r w:rsidR="00FB0268">
        <w:t>&gt;</w:t>
      </w:r>
    </w:p>
    <w:p w:rsidR="00023343" w:rsidRDefault="00EA66FA" w:rsidP="00FB0268">
      <w:pPr>
        <w:pStyle w:val="NormalIndent"/>
        <w:spacing w:line="240" w:lineRule="auto"/>
        <w:ind w:left="0"/>
      </w:pPr>
      <w:r w:rsidRPr="00E86CA2">
        <w:t xml:space="preserve">Europe </w:t>
      </w:r>
      <w:proofErr w:type="spellStart"/>
      <w:r w:rsidRPr="00E86CA2">
        <w:t>S</w:t>
      </w:r>
      <w:r w:rsidR="00816424" w:rsidRPr="00E86CA2">
        <w:t>olidaire</w:t>
      </w:r>
      <w:proofErr w:type="spellEnd"/>
      <w:r w:rsidR="00816424" w:rsidRPr="00E86CA2">
        <w:t xml:space="preserve"> Sans </w:t>
      </w:r>
      <w:proofErr w:type="spellStart"/>
      <w:r w:rsidR="00816424" w:rsidRPr="00E86CA2">
        <w:t>Frontieres</w:t>
      </w:r>
      <w:proofErr w:type="spellEnd"/>
      <w:r w:rsidR="00816424">
        <w:t xml:space="preserve">, </w:t>
      </w:r>
      <w:r w:rsidR="00816424" w:rsidRPr="00217B38">
        <w:rPr>
          <w:i/>
        </w:rPr>
        <w:t>Mindanao (Philippines): The situation of the Internally Displaced Population (IDPs) affected by the ongoing armed conflicts and the solidarity needs</w:t>
      </w:r>
      <w:r w:rsidR="00FB0268">
        <w:t xml:space="preserve"> (18 March 2015)</w:t>
      </w:r>
      <w:r w:rsidR="00816424">
        <w:t xml:space="preserve"> &lt;</w:t>
      </w:r>
      <w:r w:rsidR="00816424" w:rsidRPr="00C16574">
        <w:t>https://www.europe-solidaire.org/spip.php?article34621</w:t>
      </w:r>
      <w:r w:rsidR="00E60978">
        <w:t>&gt;</w:t>
      </w:r>
    </w:p>
    <w:p w:rsidR="00023343" w:rsidRDefault="00023343" w:rsidP="00023343">
      <w:pPr>
        <w:pStyle w:val="NormalIndent"/>
        <w:ind w:left="0"/>
      </w:pPr>
      <w:proofErr w:type="spellStart"/>
      <w:r w:rsidRPr="00023343">
        <w:t>FoodFirst</w:t>
      </w:r>
      <w:proofErr w:type="spellEnd"/>
      <w:r w:rsidRPr="00023343">
        <w:t xml:space="preserve"> Information and Action Network, UPR</w:t>
      </w:r>
      <w:r>
        <w:t xml:space="preserve"> submission, November 2007, </w:t>
      </w:r>
      <w:r w:rsidR="00917F5F">
        <w:t>&lt;</w:t>
      </w:r>
      <w:r w:rsidR="00917F5F" w:rsidRPr="00C16574">
        <w:t>http://lib.ohchr.org/HRBodies/UPR/Documents/Session1/PH/FIAN_PHL_UPR_S1_2008_FIANInternational_u prsubmission.pdf</w:t>
      </w:r>
      <w:r w:rsidR="00917F5F">
        <w:t>&gt;</w:t>
      </w:r>
    </w:p>
    <w:p w:rsidR="00FB0268" w:rsidRDefault="00FB0268" w:rsidP="00FB0268">
      <w:proofErr w:type="spellStart"/>
      <w:r>
        <w:t>IntelligencerPost</w:t>
      </w:r>
      <w:proofErr w:type="spellEnd"/>
      <w:r>
        <w:t xml:space="preserve">, </w:t>
      </w:r>
      <w:r w:rsidRPr="00FC5408">
        <w:rPr>
          <w:i/>
        </w:rPr>
        <w:t>19 Civilians Killed, 85,000 Displaced as Philippines Continues to Battle Islamist Militants in Mindanao</w:t>
      </w:r>
      <w:r>
        <w:t xml:space="preserve"> (21 August 2017) </w:t>
      </w:r>
      <w:r>
        <w:rPr>
          <w:i/>
        </w:rPr>
        <w:t>&lt;</w:t>
      </w:r>
      <w:r w:rsidRPr="00C16574">
        <w:t>http://www.intelligencerpost.com/19-civilians-killed-85000-displaced-philippines-continues-battle-islamist-militants-mindanao/</w:t>
      </w:r>
      <w:r>
        <w:t>&gt;</w:t>
      </w:r>
    </w:p>
    <w:p w:rsidR="00671317" w:rsidRDefault="00671317" w:rsidP="006A3EBE">
      <w:pPr>
        <w:pStyle w:val="AllensHeading2"/>
      </w:pPr>
      <w:bookmarkStart w:id="111" w:name="_Toc490144191"/>
      <w:bookmarkStart w:id="112" w:name="_Toc486677151"/>
      <w:bookmarkStart w:id="113" w:name="_Toc513116272"/>
      <w:r>
        <w:t>Websites</w:t>
      </w:r>
      <w:bookmarkEnd w:id="111"/>
      <w:bookmarkEnd w:id="112"/>
      <w:bookmarkEnd w:id="113"/>
    </w:p>
    <w:p w:rsidR="002C087A" w:rsidRDefault="002C087A" w:rsidP="00895C60">
      <w:r>
        <w:t xml:space="preserve">Department of Agrarian Reform Q&amp;A on CARP </w:t>
      </w:r>
      <w:r w:rsidR="00C74465">
        <w:t>&lt;</w:t>
      </w:r>
      <w:r w:rsidRPr="00C16574">
        <w:t>http://www.dar.gov.ph/q-and-a-on-carp/english</w:t>
      </w:r>
      <w:r w:rsidR="00C74465">
        <w:t>&gt;</w:t>
      </w:r>
    </w:p>
    <w:p w:rsidR="00EB7292" w:rsidRDefault="00EB7292" w:rsidP="00671317">
      <w:r w:rsidRPr="009A2A5E">
        <w:lastRenderedPageBreak/>
        <w:t xml:space="preserve">Freedom House, </w:t>
      </w:r>
      <w:r w:rsidRPr="00396D5C">
        <w:rPr>
          <w:i/>
        </w:rPr>
        <w:t xml:space="preserve">Countries at the Crossroads 2007 – Philippines </w:t>
      </w:r>
      <w:r>
        <w:t>(25 September 2007) &lt;</w:t>
      </w:r>
      <w:r w:rsidRPr="00C16574">
        <w:t>http://www.refworld.org/docid/4738692964.html</w:t>
      </w:r>
      <w:r w:rsidR="00E60978">
        <w:t>&gt;</w:t>
      </w:r>
    </w:p>
    <w:p w:rsidR="00B2375B" w:rsidRDefault="00B2375B" w:rsidP="00671317">
      <w:r>
        <w:t xml:space="preserve">Food and Agriculture Organisation of the UN, </w:t>
      </w:r>
      <w:r w:rsidRPr="00732EEC">
        <w:rPr>
          <w:i/>
        </w:rPr>
        <w:t>Women's Rights to Land and other Natural Resources</w:t>
      </w:r>
      <w:r>
        <w:t xml:space="preserve"> &lt;</w:t>
      </w:r>
      <w:r w:rsidRPr="00C16574">
        <w:t>http://www.fao.org/docrep/005/y4311e/y4311e04.htm</w:t>
      </w:r>
      <w:r w:rsidR="00E60978">
        <w:t>&gt;</w:t>
      </w:r>
    </w:p>
    <w:p w:rsidR="00E60978" w:rsidRPr="00E60978" w:rsidRDefault="00E60978" w:rsidP="00E60978">
      <w:r w:rsidRPr="00E60978">
        <w:t>Global Shelter Cluster,</w:t>
      </w:r>
      <w:r w:rsidRPr="00E60978">
        <w:rPr>
          <w:i/>
        </w:rPr>
        <w:t xml:space="preserve"> </w:t>
      </w:r>
      <w:r>
        <w:rPr>
          <w:i/>
        </w:rPr>
        <w:t xml:space="preserve">Philippines </w:t>
      </w:r>
      <w:r w:rsidRPr="00E60978">
        <w:t>&lt;</w:t>
      </w:r>
      <w:r w:rsidRPr="00C16574">
        <w:t>https://www.sheltercluster.org/asiapacific/philippines</w:t>
      </w:r>
      <w:r>
        <w:t>&gt;</w:t>
      </w:r>
    </w:p>
    <w:p w:rsidR="00E60978" w:rsidRPr="00E60978" w:rsidRDefault="005E71AE" w:rsidP="00E60978">
      <w:pPr>
        <w:rPr>
          <w:i/>
        </w:rPr>
      </w:pPr>
      <w:r>
        <w:t xml:space="preserve">Global Shelter Cluster, </w:t>
      </w:r>
      <w:r w:rsidRPr="00396D5C">
        <w:rPr>
          <w:i/>
        </w:rPr>
        <w:t xml:space="preserve">Philippines Typhoon </w:t>
      </w:r>
      <w:proofErr w:type="spellStart"/>
      <w:r w:rsidRPr="00396D5C">
        <w:rPr>
          <w:i/>
        </w:rPr>
        <w:t>Haima</w:t>
      </w:r>
      <w:proofErr w:type="spellEnd"/>
      <w:r w:rsidRPr="00396D5C">
        <w:rPr>
          <w:i/>
        </w:rPr>
        <w:t xml:space="preserve"> 2016</w:t>
      </w:r>
      <w:r w:rsidR="00E60978">
        <w:rPr>
          <w:i/>
        </w:rPr>
        <w:t xml:space="preserve"> </w:t>
      </w:r>
      <w:r w:rsidR="00E60978" w:rsidRPr="00E60978">
        <w:t>&lt;</w:t>
      </w:r>
      <w:r w:rsidR="00E60978" w:rsidRPr="00C16574">
        <w:t>https://www.sheltercluster.org/response/philippines-typhoon-haima-2016</w:t>
      </w:r>
      <w:r w:rsidR="00E60978">
        <w:t>&gt;</w:t>
      </w:r>
    </w:p>
    <w:p w:rsidR="00816424" w:rsidRDefault="00816424" w:rsidP="00671317">
      <w:r>
        <w:t xml:space="preserve">International Federation of Red Cross and Red Crescent Societies, </w:t>
      </w:r>
      <w:r>
        <w:rPr>
          <w:i/>
        </w:rPr>
        <w:t>Information Bulletin Philippines: Typhoon Nock-Ten</w:t>
      </w:r>
      <w:r>
        <w:t xml:space="preserve"> (27 December 2016) &lt;</w:t>
      </w:r>
      <w:r w:rsidRPr="00C16574">
        <w:t>http://www.ifrc.org/docs/Appeals/16/IBPHTY271216.pdf</w:t>
      </w:r>
      <w:r>
        <w:t>&gt;</w:t>
      </w:r>
    </w:p>
    <w:p w:rsidR="00C74465" w:rsidRDefault="00C74465" w:rsidP="00671317">
      <w:proofErr w:type="spellStart"/>
      <w:r>
        <w:t>Kaisahan</w:t>
      </w:r>
      <w:proofErr w:type="spellEnd"/>
      <w:r>
        <w:t xml:space="preserve"> </w:t>
      </w:r>
      <w:proofErr w:type="spellStart"/>
      <w:r>
        <w:t>Inc</w:t>
      </w:r>
      <w:proofErr w:type="spellEnd"/>
      <w:r>
        <w:t xml:space="preserve">, </w:t>
      </w:r>
      <w:r w:rsidRPr="001F77AB">
        <w:rPr>
          <w:i/>
        </w:rPr>
        <w:t>Position Paper on House Bill No 5085</w:t>
      </w:r>
      <w:r>
        <w:t>, &lt;</w:t>
      </w:r>
      <w:r w:rsidRPr="00C16574">
        <w:t>http://www.kaisahan.com.ph/wp-content/uploads/2017/10/POSITION-PAPER-HB-5085-AVA.pdf</w:t>
      </w:r>
      <w:r w:rsidR="00E60978">
        <w:t>&gt;</w:t>
      </w:r>
    </w:p>
    <w:p w:rsidR="00816424" w:rsidRDefault="00816424" w:rsidP="00671317">
      <w:r>
        <w:t xml:space="preserve">Oxfam, </w:t>
      </w:r>
      <w:r>
        <w:rPr>
          <w:i/>
        </w:rPr>
        <w:t xml:space="preserve">Super Typhoon </w:t>
      </w:r>
      <w:proofErr w:type="spellStart"/>
      <w:r>
        <w:rPr>
          <w:i/>
        </w:rPr>
        <w:t>Haima</w:t>
      </w:r>
      <w:proofErr w:type="spellEnd"/>
      <w:r>
        <w:rPr>
          <w:i/>
        </w:rPr>
        <w:t xml:space="preserve"> Aftermath: Oxfam Assesses Needs on the Ground</w:t>
      </w:r>
      <w:r w:rsidR="00FB0268">
        <w:t xml:space="preserve"> (21 October 2016) </w:t>
      </w:r>
      <w:r>
        <w:t>&lt;</w:t>
      </w:r>
      <w:r w:rsidRPr="00C16574">
        <w:t>https://philippines.oxfam.org/press_release/super-typhoon-haima-aftermath-oxfam-assesses-needs-ground</w:t>
      </w:r>
      <w:r>
        <w:t>&gt;</w:t>
      </w:r>
    </w:p>
    <w:p w:rsidR="00895C60" w:rsidRDefault="00895C60" w:rsidP="00671317">
      <w:pPr>
        <w:rPr>
          <w:iCs/>
          <w:color w:val="000000"/>
        </w:rPr>
      </w:pPr>
      <w:r>
        <w:t xml:space="preserve">PDHRE, </w:t>
      </w:r>
      <w:r>
        <w:rPr>
          <w:i/>
        </w:rPr>
        <w:t>Philippine Laws on Housing and Human Settlements: Supplemental Text</w:t>
      </w:r>
      <w:r>
        <w:t>,</w:t>
      </w:r>
      <w:r>
        <w:rPr>
          <w:i/>
        </w:rPr>
        <w:t xml:space="preserve"> </w:t>
      </w:r>
      <w:r>
        <w:rPr>
          <w:iCs/>
          <w:color w:val="000000"/>
        </w:rPr>
        <w:t xml:space="preserve">29 March 1992 </w:t>
      </w:r>
      <w:r>
        <w:t>&lt;</w:t>
      </w:r>
      <w:r w:rsidRPr="00C16574">
        <w:rPr>
          <w:iCs/>
        </w:rPr>
        <w:t>http://www.pdhre.org/materials/learning4.html</w:t>
      </w:r>
      <w:r>
        <w:rPr>
          <w:iCs/>
          <w:color w:val="000000"/>
        </w:rPr>
        <w:t>&gt;</w:t>
      </w:r>
    </w:p>
    <w:p w:rsidR="00816424" w:rsidRDefault="00816424" w:rsidP="00671317">
      <w:pPr>
        <w:rPr>
          <w:iCs/>
          <w:color w:val="000000"/>
        </w:rPr>
      </w:pPr>
      <w:proofErr w:type="spellStart"/>
      <w:r>
        <w:t>ReliefWeb</w:t>
      </w:r>
      <w:proofErr w:type="spellEnd"/>
      <w:r>
        <w:t xml:space="preserve">, </w:t>
      </w:r>
      <w:r>
        <w:rPr>
          <w:i/>
        </w:rPr>
        <w:t xml:space="preserve">Typhoon </w:t>
      </w:r>
      <w:proofErr w:type="spellStart"/>
      <w:r>
        <w:rPr>
          <w:i/>
        </w:rPr>
        <w:t>Haima</w:t>
      </w:r>
      <w:proofErr w:type="spellEnd"/>
      <w:r>
        <w:t xml:space="preserve"> (October 2016) &lt;</w:t>
      </w:r>
      <w:r w:rsidRPr="00C16574">
        <w:t>http://reliefweb.int/disaster/tc-2016-000110-phl</w:t>
      </w:r>
      <w:r w:rsidR="00E60978">
        <w:t>&gt;</w:t>
      </w:r>
    </w:p>
    <w:p w:rsidR="00671317" w:rsidRDefault="00671317" w:rsidP="00671317">
      <w:pPr>
        <w:pStyle w:val="Bullet1"/>
        <w:numPr>
          <w:ilvl w:val="0"/>
          <w:numId w:val="0"/>
        </w:numPr>
        <w:tabs>
          <w:tab w:val="left" w:pos="720"/>
        </w:tabs>
      </w:pPr>
      <w:r>
        <w:t xml:space="preserve">Senate of the Philippines (August 2017) </w:t>
      </w:r>
      <w:r w:rsidR="005E71AE">
        <w:t>&lt;</w:t>
      </w:r>
      <w:r w:rsidR="005E71AE" w:rsidRPr="00C16574">
        <w:t>https://www.senate.gov.ph/lis/bill_res.aspx?congress=17&amp;q=SBN-1142</w:t>
      </w:r>
      <w:r w:rsidR="005E71AE">
        <w:t>&gt;</w:t>
      </w:r>
    </w:p>
    <w:p w:rsidR="007248FC" w:rsidRDefault="00671317" w:rsidP="00671317">
      <w:r>
        <w:t xml:space="preserve">United </w:t>
      </w:r>
      <w:r w:rsidR="00C74465" w:rsidRPr="00C74465">
        <w:t xml:space="preserve">Nations Development Programme, </w:t>
      </w:r>
      <w:r w:rsidR="00C74465" w:rsidRPr="00C74465">
        <w:rPr>
          <w:i/>
        </w:rPr>
        <w:t>Indigenous Peoples in the Philippines</w:t>
      </w:r>
      <w:r w:rsidR="00C74465" w:rsidRPr="00C74465">
        <w:t xml:space="preserve"> (2010) Fast Facts, &lt;</w:t>
      </w:r>
      <w:r w:rsidR="00C74465" w:rsidRPr="00C16574">
        <w:t>http://www.ph.undp.org/content/philippines/en/home/library/democratic_governance/FastFacts-IPs.html</w:t>
      </w:r>
      <w:r w:rsidR="00C74465" w:rsidRPr="00C74465">
        <w:t>&gt;</w:t>
      </w:r>
    </w:p>
    <w:p w:rsidR="00671317" w:rsidRDefault="00671317" w:rsidP="00671317">
      <w:r>
        <w:t>United Nations Human Rights Of</w:t>
      </w:r>
      <w:r w:rsidR="005E71AE">
        <w:t xml:space="preserve">fice of the High Commissioner, </w:t>
      </w:r>
      <w:r w:rsidRPr="005E71AE">
        <w:rPr>
          <w:i/>
        </w:rPr>
        <w:t>Ratification Status for Philippin</w:t>
      </w:r>
      <w:r w:rsidR="005E71AE">
        <w:rPr>
          <w:i/>
        </w:rPr>
        <w:t xml:space="preserve">es </w:t>
      </w:r>
      <w:r>
        <w:t>(August 2017) &lt;</w:t>
      </w:r>
      <w:r w:rsidRPr="00C16574">
        <w:t>http://tbinternet.ohchr.org/_layouts/TreatyBodyExternal/Treaty.aspx?CountryID=137&amp;Lang=EN</w:t>
      </w:r>
      <w:r>
        <w:t>&gt;</w:t>
      </w:r>
    </w:p>
    <w:p w:rsidR="007248FC" w:rsidRDefault="007248FC" w:rsidP="00671317">
      <w:pPr>
        <w:rPr>
          <w:lang w:val="en-US"/>
        </w:rPr>
      </w:pPr>
      <w:r>
        <w:rPr>
          <w:lang w:val="en-US"/>
        </w:rPr>
        <w:t xml:space="preserve">US Aid, </w:t>
      </w:r>
      <w:r>
        <w:rPr>
          <w:i/>
          <w:lang w:val="en-US"/>
        </w:rPr>
        <w:t>Country Profile: Property Rights and Resource Governance: Philippines</w:t>
      </w:r>
      <w:r>
        <w:rPr>
          <w:lang w:val="en-US"/>
        </w:rPr>
        <w:t>, 2011</w:t>
      </w:r>
      <w:r w:rsidR="00917F5F">
        <w:rPr>
          <w:lang w:val="en-US"/>
        </w:rPr>
        <w:t xml:space="preserve"> &lt;</w:t>
      </w:r>
      <w:r w:rsidR="00917F5F" w:rsidRPr="00C16574">
        <w:rPr>
          <w:lang w:val="en-US"/>
        </w:rPr>
        <w:t>http://exchange.growasia.org/usaid-country-profile-property-rights-and-resource-governance-philippines</w:t>
      </w:r>
      <w:r w:rsidR="00917F5F">
        <w:rPr>
          <w:lang w:val="en-US"/>
        </w:rPr>
        <w:t>&gt;</w:t>
      </w:r>
    </w:p>
    <w:p w:rsidR="001F77AB" w:rsidRDefault="001F77AB" w:rsidP="00671317">
      <w:pPr>
        <w:rPr>
          <w:lang w:val="en-US"/>
        </w:rPr>
      </w:pPr>
      <w:r w:rsidRPr="001F77AB">
        <w:t>UN Working Group on the Universal Periodic Review, 1</w:t>
      </w:r>
      <w:r w:rsidRPr="001F77AB">
        <w:rPr>
          <w:vertAlign w:val="superscript"/>
        </w:rPr>
        <w:t>st</w:t>
      </w:r>
      <w:r w:rsidRPr="001F77AB">
        <w:t xml:space="preserve"> session, Geneva (7-18 April 2008) UN Doc A/HRC/WG6/1/PHL/3 &lt;</w:t>
      </w:r>
      <w:r w:rsidRPr="00C16574">
        <w:t>http://alrc.asia/wp-content/uploads/2015/07/UPR01-Philippines_OHCHRsummary_Stakeholders.pdf</w:t>
      </w:r>
      <w:r w:rsidR="00E60978">
        <w:t>&gt;</w:t>
      </w:r>
    </w:p>
    <w:p w:rsidR="00816424" w:rsidRDefault="00816424" w:rsidP="00671317">
      <w:r>
        <w:t xml:space="preserve">United States of America Central Intelligence Agency, </w:t>
      </w:r>
      <w:r w:rsidRPr="00217B38">
        <w:rPr>
          <w:i/>
        </w:rPr>
        <w:t xml:space="preserve">The World </w:t>
      </w:r>
      <w:proofErr w:type="spellStart"/>
      <w:r w:rsidRPr="00217B38">
        <w:rPr>
          <w:i/>
        </w:rPr>
        <w:t>Factbook</w:t>
      </w:r>
      <w:proofErr w:type="spellEnd"/>
      <w:r w:rsidR="00E606F7">
        <w:rPr>
          <w:i/>
        </w:rPr>
        <w:t xml:space="preserve"> </w:t>
      </w:r>
      <w:r>
        <w:t>&lt;</w:t>
      </w:r>
      <w:r w:rsidRPr="00C16574">
        <w:t>https://www.cia.gov/library/publications/the-world-factbook/fields/2194.html</w:t>
      </w:r>
      <w:r w:rsidR="00E60978">
        <w:t>&gt;</w:t>
      </w:r>
    </w:p>
    <w:p w:rsidR="00816424" w:rsidRDefault="00816424" w:rsidP="00671317">
      <w:proofErr w:type="spellStart"/>
      <w:r>
        <w:t>Viray</w:t>
      </w:r>
      <w:proofErr w:type="spellEnd"/>
      <w:r>
        <w:t xml:space="preserve">, Patricia Lourdes, </w:t>
      </w:r>
      <w:r w:rsidRPr="00843499">
        <w:rPr>
          <w:i/>
        </w:rPr>
        <w:t>Philippines 2</w:t>
      </w:r>
      <w:r w:rsidRPr="00843499">
        <w:rPr>
          <w:i/>
          <w:vertAlign w:val="superscript"/>
        </w:rPr>
        <w:t>nd</w:t>
      </w:r>
      <w:r w:rsidRPr="00843499">
        <w:rPr>
          <w:i/>
        </w:rPr>
        <w:t xml:space="preserve"> Country with Worst Displacement in 2016 – Report,</w:t>
      </w:r>
      <w:r>
        <w:t xml:space="preserve"> </w:t>
      </w:r>
      <w:proofErr w:type="spellStart"/>
      <w:r w:rsidRPr="00843499">
        <w:t>PhilStar</w:t>
      </w:r>
      <w:proofErr w:type="spellEnd"/>
      <w:r>
        <w:t xml:space="preserve"> (23 May 2017) &lt;</w:t>
      </w:r>
      <w:r w:rsidRPr="00C16574">
        <w:t>http://www.philstar.com/headlines/2017/05/23/1702815/philippines-2nd-country-worst-displacement-2016-report</w:t>
      </w:r>
      <w:r w:rsidR="00E60978">
        <w:t>&gt;</w:t>
      </w:r>
    </w:p>
    <w:p w:rsidR="00895C60" w:rsidRDefault="00895C60" w:rsidP="00671317">
      <w:r>
        <w:t>World Bank Urban Population Indicator</w:t>
      </w:r>
      <w:r w:rsidR="00EB7292">
        <w:t>, The</w:t>
      </w:r>
      <w:r>
        <w:t xml:space="preserve"> &lt;</w:t>
      </w:r>
      <w:r w:rsidRPr="00C16574">
        <w:t>http://data.worldbank.o</w:t>
      </w:r>
      <w:r w:rsidR="00EB7292" w:rsidRPr="00C16574">
        <w:t>rg/indicator/SP.URB.TOTL.IN.ZS</w:t>
      </w:r>
      <w:r>
        <w:t>&gt;</w:t>
      </w:r>
    </w:p>
    <w:p w:rsidR="00AB6C38" w:rsidRDefault="00AB6C38">
      <w:pPr>
        <w:spacing w:before="0" w:after="200" w:line="276" w:lineRule="auto"/>
        <w:rPr>
          <w:b/>
          <w:sz w:val="22"/>
        </w:rPr>
      </w:pPr>
      <w:r>
        <w:br w:type="page"/>
      </w:r>
    </w:p>
    <w:p w:rsidR="00AB6C38" w:rsidRDefault="00AB6C38" w:rsidP="006A3EBE">
      <w:pPr>
        <w:pStyle w:val="AllensHeading1"/>
      </w:pPr>
      <w:bookmarkStart w:id="114" w:name="_Ref496878499"/>
      <w:bookmarkStart w:id="115" w:name="_Toc513116273"/>
      <w:r>
        <w:lastRenderedPageBreak/>
        <w:t xml:space="preserve">Glossary of abbreviated </w:t>
      </w:r>
      <w:r w:rsidR="00913CE4">
        <w:t xml:space="preserve">and defined </w:t>
      </w:r>
      <w:r>
        <w:t>terms</w:t>
      </w:r>
      <w:bookmarkEnd w:id="114"/>
      <w:bookmarkEnd w:id="115"/>
    </w:p>
    <w:p w:rsidR="00B41242" w:rsidRDefault="00B41242" w:rsidP="00B41242">
      <w:pPr>
        <w:rPr>
          <w:lang w:val="en-GB"/>
        </w:rPr>
      </w:pPr>
      <w:r w:rsidRPr="00DA20DA">
        <w:rPr>
          <w:b/>
          <w:bCs/>
          <w:i/>
          <w:iCs/>
          <w:lang w:val="en-GB"/>
        </w:rPr>
        <w:t>ARC</w:t>
      </w:r>
      <w:r>
        <w:rPr>
          <w:lang w:val="en-GB"/>
        </w:rPr>
        <w:t>: Australian Red Cross</w:t>
      </w:r>
    </w:p>
    <w:p w:rsidR="00270A74" w:rsidRPr="00270A74" w:rsidRDefault="00270A74" w:rsidP="00B41242">
      <w:r>
        <w:rPr>
          <w:b/>
          <w:i/>
        </w:rPr>
        <w:t>ARBs</w:t>
      </w:r>
      <w:r>
        <w:t>: Agrarian Reform Beneficiaries</w:t>
      </w:r>
    </w:p>
    <w:p w:rsidR="00270A74" w:rsidRPr="00270A74" w:rsidRDefault="00270A74" w:rsidP="00B41242">
      <w:r>
        <w:rPr>
          <w:b/>
          <w:i/>
        </w:rPr>
        <w:t>AVAs</w:t>
      </w:r>
      <w:r w:rsidRPr="00270A74">
        <w:t xml:space="preserve">: </w:t>
      </w:r>
      <w:r>
        <w:t>Agribusiness Venture Arrangements</w:t>
      </w:r>
    </w:p>
    <w:p w:rsidR="00270A74" w:rsidRPr="00270A74" w:rsidRDefault="00270A74" w:rsidP="00B41242">
      <w:r>
        <w:rPr>
          <w:b/>
          <w:i/>
        </w:rPr>
        <w:t>AVA Bill</w:t>
      </w:r>
      <w:r>
        <w:t>: House Bill No 5085</w:t>
      </w:r>
    </w:p>
    <w:p w:rsidR="00B41242" w:rsidRDefault="00B41242" w:rsidP="00B41242">
      <w:pPr>
        <w:rPr>
          <w:lang w:val="en-GB"/>
        </w:rPr>
      </w:pPr>
      <w:r w:rsidRPr="00534B75">
        <w:rPr>
          <w:b/>
          <w:i/>
        </w:rPr>
        <w:t>CA 141</w:t>
      </w:r>
      <w:r>
        <w:t xml:space="preserve">: </w:t>
      </w:r>
      <w:r w:rsidRPr="00EE769A">
        <w:rPr>
          <w:i/>
        </w:rPr>
        <w:t xml:space="preserve">Commonwealth Act </w:t>
      </w:r>
      <w:r w:rsidRPr="00627B5B">
        <w:rPr>
          <w:i/>
        </w:rPr>
        <w:t>1936</w:t>
      </w:r>
    </w:p>
    <w:p w:rsidR="00B41242" w:rsidRPr="00934042" w:rsidRDefault="00B41242" w:rsidP="00885CA0">
      <w:pPr>
        <w:pStyle w:val="Bullet1"/>
        <w:numPr>
          <w:ilvl w:val="0"/>
          <w:numId w:val="0"/>
        </w:numPr>
        <w:ind w:left="709" w:hanging="709"/>
        <w:jc w:val="both"/>
        <w:rPr>
          <w:rFonts w:cs="Arial"/>
        </w:rPr>
      </w:pPr>
      <w:r w:rsidRPr="000003A0">
        <w:rPr>
          <w:rFonts w:cs="Arial"/>
          <w:b/>
          <w:i/>
        </w:rPr>
        <w:t>CA 2259</w:t>
      </w:r>
      <w:r w:rsidR="00885CA0">
        <w:rPr>
          <w:rFonts w:cs="Arial"/>
        </w:rPr>
        <w:t xml:space="preserve">: </w:t>
      </w:r>
      <w:hyperlink r:id="rId57" w:history="1">
        <w:r w:rsidR="00885CA0" w:rsidRPr="0014020A">
          <w:rPr>
            <w:rStyle w:val="Hyperlink"/>
            <w:rFonts w:cs="Arial"/>
            <w:i/>
          </w:rPr>
          <w:t>Cadastral Act of 1913</w:t>
        </w:r>
      </w:hyperlink>
      <w:r w:rsidR="00885CA0">
        <w:rPr>
          <w:rFonts w:cs="Arial"/>
        </w:rPr>
        <w:t xml:space="preserve"> (Act 2259)</w:t>
      </w:r>
    </w:p>
    <w:p w:rsidR="00B41242" w:rsidRDefault="00B41242" w:rsidP="00B41242">
      <w:r w:rsidRPr="005C4248">
        <w:rPr>
          <w:b/>
          <w:i/>
        </w:rPr>
        <w:t>CADTs</w:t>
      </w:r>
      <w:r w:rsidR="00885CA0">
        <w:t>: C</w:t>
      </w:r>
      <w:r w:rsidR="00885CA0" w:rsidRPr="00534B75">
        <w:t xml:space="preserve">ertificates of </w:t>
      </w:r>
      <w:r w:rsidR="00885CA0">
        <w:t>A</w:t>
      </w:r>
      <w:r w:rsidR="00885CA0" w:rsidRPr="00534B75">
        <w:t xml:space="preserve">ncestral </w:t>
      </w:r>
      <w:r w:rsidR="00885CA0">
        <w:t>D</w:t>
      </w:r>
      <w:r w:rsidR="00885CA0" w:rsidRPr="00534B75">
        <w:t xml:space="preserve">omain </w:t>
      </w:r>
      <w:r w:rsidR="00885CA0">
        <w:t>T</w:t>
      </w:r>
      <w:r w:rsidR="00885CA0" w:rsidRPr="00534B75">
        <w:t>itles</w:t>
      </w:r>
    </w:p>
    <w:p w:rsidR="00885CA0" w:rsidRPr="006E48B3" w:rsidRDefault="00885CA0" w:rsidP="00885CA0">
      <w:pPr>
        <w:rPr>
          <w:lang w:val="es-EC"/>
        </w:rPr>
      </w:pPr>
      <w:r w:rsidRPr="006E48B3">
        <w:rPr>
          <w:b/>
          <w:i/>
          <w:lang w:val="es-EC"/>
        </w:rPr>
        <w:t>CALABARZON</w:t>
      </w:r>
      <w:r w:rsidRPr="006E48B3">
        <w:rPr>
          <w:lang w:val="es-EC"/>
        </w:rPr>
        <w:t xml:space="preserve">: Cavite, Laguna, </w:t>
      </w:r>
      <w:proofErr w:type="spellStart"/>
      <w:r w:rsidRPr="006E48B3">
        <w:rPr>
          <w:lang w:val="es-EC"/>
        </w:rPr>
        <w:t>Bantangas</w:t>
      </w:r>
      <w:proofErr w:type="spellEnd"/>
      <w:r w:rsidRPr="006E48B3">
        <w:rPr>
          <w:lang w:val="es-EC"/>
        </w:rPr>
        <w:t xml:space="preserve">, Rizal and </w:t>
      </w:r>
      <w:proofErr w:type="spellStart"/>
      <w:r w:rsidRPr="006E48B3">
        <w:rPr>
          <w:lang w:val="es-EC"/>
        </w:rPr>
        <w:t>Quezon</w:t>
      </w:r>
      <w:proofErr w:type="spellEnd"/>
    </w:p>
    <w:p w:rsidR="00D73E58" w:rsidRPr="004A3F7F" w:rsidRDefault="00D73E58" w:rsidP="00D73E58">
      <w:pPr>
        <w:pStyle w:val="Bullet2"/>
        <w:numPr>
          <w:ilvl w:val="0"/>
          <w:numId w:val="0"/>
        </w:numPr>
        <w:rPr>
          <w:rFonts w:eastAsiaTheme="minorHAnsi"/>
          <w:lang w:eastAsia="en-US"/>
        </w:rPr>
      </w:pPr>
      <w:r w:rsidRPr="00EA11CD">
        <w:rPr>
          <w:rFonts w:eastAsiaTheme="minorHAnsi"/>
          <w:b/>
          <w:i/>
          <w:lang w:eastAsia="en-US"/>
        </w:rPr>
        <w:t>CALTs</w:t>
      </w:r>
      <w:r>
        <w:rPr>
          <w:rFonts w:eastAsiaTheme="minorHAnsi"/>
          <w:lang w:eastAsia="en-US"/>
        </w:rPr>
        <w:t xml:space="preserve">: </w:t>
      </w:r>
      <w:r w:rsidRPr="004A3F7F">
        <w:rPr>
          <w:rFonts w:eastAsiaTheme="minorHAnsi"/>
          <w:lang w:eastAsia="en-US"/>
        </w:rPr>
        <w:t>Certificates of Ancestral Land Title</w:t>
      </w:r>
    </w:p>
    <w:p w:rsidR="00D73E58" w:rsidRDefault="00D73E58" w:rsidP="00D73E58">
      <w:pPr>
        <w:jc w:val="both"/>
        <w:rPr>
          <w:rFonts w:eastAsiaTheme="minorHAnsi" w:cs="Arial"/>
          <w:lang w:eastAsia="en-US"/>
        </w:rPr>
      </w:pPr>
      <w:r w:rsidRPr="000003A0">
        <w:rPr>
          <w:rFonts w:eastAsiaTheme="minorHAnsi" w:cs="Arial"/>
          <w:b/>
          <w:i/>
          <w:lang w:eastAsia="en-US"/>
        </w:rPr>
        <w:t>CARL</w:t>
      </w:r>
      <w:r>
        <w:rPr>
          <w:rFonts w:eastAsiaTheme="minorHAnsi" w:cs="Arial"/>
          <w:lang w:eastAsia="en-US"/>
        </w:rPr>
        <w:t xml:space="preserve">: </w:t>
      </w:r>
      <w:hyperlink r:id="rId58" w:history="1">
        <w:r w:rsidRPr="0037783D">
          <w:rPr>
            <w:rStyle w:val="Hyperlink"/>
            <w:rFonts w:eastAsiaTheme="minorHAnsi" w:cs="Arial"/>
            <w:i/>
            <w:lang w:eastAsia="en-US"/>
          </w:rPr>
          <w:t>Comprehensive Agrarian Reform Law of 1988</w:t>
        </w:r>
      </w:hyperlink>
      <w:r w:rsidRPr="00FA62B7">
        <w:rPr>
          <w:rFonts w:eastAsiaTheme="minorHAnsi" w:cs="Arial"/>
          <w:i/>
          <w:lang w:eastAsia="en-US"/>
        </w:rPr>
        <w:t xml:space="preserve"> </w:t>
      </w:r>
      <w:r>
        <w:rPr>
          <w:rFonts w:eastAsiaTheme="minorHAnsi" w:cs="Arial"/>
          <w:lang w:eastAsia="en-US"/>
        </w:rPr>
        <w:t>(Republic Act 6657)</w:t>
      </w:r>
    </w:p>
    <w:p w:rsidR="00D73E58" w:rsidRDefault="00D73E58" w:rsidP="00D73E58">
      <w:pPr>
        <w:rPr>
          <w:rFonts w:eastAsiaTheme="minorHAnsi"/>
          <w:i/>
          <w:lang w:eastAsia="en-US"/>
        </w:rPr>
      </w:pPr>
      <w:r w:rsidRPr="004A3F7F">
        <w:rPr>
          <w:b/>
          <w:i/>
        </w:rPr>
        <w:t>CARP</w:t>
      </w:r>
      <w:r>
        <w:t xml:space="preserve">: Comprehensive Agrarian </w:t>
      </w:r>
      <w:r w:rsidR="00E82DB7">
        <w:t xml:space="preserve">Reform </w:t>
      </w:r>
      <w:r>
        <w:t>Program</w:t>
      </w:r>
    </w:p>
    <w:p w:rsidR="00D73E58" w:rsidRPr="00D73E58" w:rsidRDefault="00D73E58" w:rsidP="00D73E58">
      <w:pPr>
        <w:jc w:val="both"/>
        <w:rPr>
          <w:rFonts w:eastAsiaTheme="minorHAnsi" w:cs="Arial"/>
          <w:lang w:eastAsia="en-US"/>
        </w:rPr>
      </w:pPr>
      <w:r>
        <w:rPr>
          <w:rFonts w:eastAsiaTheme="minorHAnsi" w:cs="Arial"/>
          <w:b/>
          <w:i/>
          <w:lang w:eastAsia="en-US"/>
        </w:rPr>
        <w:t>CARPER</w:t>
      </w:r>
      <w:r>
        <w:rPr>
          <w:rFonts w:eastAsiaTheme="minorHAnsi" w:cs="Arial"/>
          <w:lang w:eastAsia="en-US"/>
        </w:rPr>
        <w:t xml:space="preserve">: </w:t>
      </w:r>
      <w:r w:rsidR="004E5F3B">
        <w:rPr>
          <w:rFonts w:eastAsiaTheme="minorHAnsi" w:cs="Arial"/>
          <w:lang w:eastAsia="en-US"/>
        </w:rPr>
        <w:t xml:space="preserve">CARP </w:t>
      </w:r>
      <w:r w:rsidRPr="00FA62B7">
        <w:rPr>
          <w:rFonts w:eastAsiaTheme="minorHAnsi" w:cs="Arial"/>
          <w:lang w:eastAsia="en-US"/>
        </w:rPr>
        <w:t xml:space="preserve">as amended by </w:t>
      </w:r>
      <w:hyperlink r:id="rId59" w:history="1">
        <w:r w:rsidRPr="0037783D">
          <w:rPr>
            <w:rStyle w:val="Hyperlink"/>
            <w:i/>
          </w:rPr>
          <w:t>Comprehensive Agrarian Reform Program Extension with Reforms of 2009</w:t>
        </w:r>
      </w:hyperlink>
      <w:r>
        <w:t xml:space="preserve"> </w:t>
      </w:r>
      <w:r>
        <w:rPr>
          <w:rFonts w:eastAsiaTheme="minorHAnsi" w:cs="Arial"/>
          <w:lang w:eastAsia="en-US"/>
        </w:rPr>
        <w:t>(Republic Act 9700)</w:t>
      </w:r>
    </w:p>
    <w:p w:rsidR="00D73E58" w:rsidRDefault="00D73E58" w:rsidP="00D73E58">
      <w:r w:rsidRPr="00EE769A">
        <w:rPr>
          <w:b/>
          <w:i/>
        </w:rPr>
        <w:t>Civil Code</w:t>
      </w:r>
      <w:r>
        <w:t xml:space="preserve">: </w:t>
      </w:r>
      <w:r w:rsidRPr="00EE769A">
        <w:rPr>
          <w:i/>
        </w:rPr>
        <w:t>Civil Code of the Philippines 1949</w:t>
      </w:r>
      <w:r w:rsidRPr="00EE769A">
        <w:t xml:space="preserve"> (</w:t>
      </w:r>
      <w:r>
        <w:t xml:space="preserve">Republic Act </w:t>
      </w:r>
      <w:r w:rsidRPr="00EE769A">
        <w:t>386)</w:t>
      </w:r>
    </w:p>
    <w:p w:rsidR="00D73E58" w:rsidRPr="004A3F7F" w:rsidRDefault="00D73E58" w:rsidP="00D73E58">
      <w:pPr>
        <w:rPr>
          <w:rFonts w:eastAsiaTheme="minorHAnsi"/>
          <w:lang w:eastAsia="en-US"/>
        </w:rPr>
      </w:pPr>
      <w:r w:rsidRPr="00EA11CD">
        <w:rPr>
          <w:rFonts w:eastAsiaTheme="minorHAnsi"/>
          <w:b/>
          <w:i/>
          <w:lang w:eastAsia="en-US"/>
        </w:rPr>
        <w:t>CLOAs</w:t>
      </w:r>
      <w:r w:rsidRPr="00D73E58">
        <w:rPr>
          <w:rFonts w:eastAsiaTheme="minorHAnsi"/>
          <w:lang w:eastAsia="en-US"/>
        </w:rPr>
        <w:t xml:space="preserve">: </w:t>
      </w:r>
      <w:r w:rsidRPr="004A3F7F">
        <w:rPr>
          <w:rFonts w:eastAsiaTheme="minorHAnsi"/>
          <w:lang w:eastAsia="en-US"/>
        </w:rPr>
        <w:t>Certifi</w:t>
      </w:r>
      <w:r>
        <w:rPr>
          <w:rFonts w:eastAsiaTheme="minorHAnsi"/>
          <w:lang w:eastAsia="en-US"/>
        </w:rPr>
        <w:t>cates of Land Ownership Awards</w:t>
      </w:r>
    </w:p>
    <w:p w:rsidR="00D73E58" w:rsidRDefault="00D73E58" w:rsidP="00D73E58">
      <w:r w:rsidRPr="00A9529C">
        <w:rPr>
          <w:rFonts w:eastAsiaTheme="minorHAnsi"/>
          <w:b/>
          <w:i/>
          <w:lang w:eastAsia="en-US"/>
        </w:rPr>
        <w:t>CMP</w:t>
      </w:r>
      <w:r>
        <w:rPr>
          <w:rFonts w:eastAsiaTheme="minorHAnsi"/>
          <w:lang w:eastAsia="en-US"/>
        </w:rPr>
        <w:t>: Community Mortgage Program</w:t>
      </w:r>
    </w:p>
    <w:p w:rsidR="00885CA0" w:rsidRPr="006307FC" w:rsidRDefault="00885CA0" w:rsidP="00885CA0">
      <w:r>
        <w:rPr>
          <w:rFonts w:eastAsiaTheme="minorHAnsi"/>
          <w:b/>
          <w:i/>
          <w:lang w:val="en-US" w:eastAsia="en-US"/>
        </w:rPr>
        <w:t>COHRE</w:t>
      </w:r>
      <w:r>
        <w:rPr>
          <w:rFonts w:eastAsiaTheme="minorHAnsi"/>
          <w:lang w:val="en-US" w:eastAsia="en-US"/>
        </w:rPr>
        <w:t>: Centre on Housing Rights and Evictions</w:t>
      </w:r>
    </w:p>
    <w:p w:rsidR="00D73E58" w:rsidRDefault="00D73E58" w:rsidP="00D73E58">
      <w:r w:rsidRPr="00F7533C">
        <w:rPr>
          <w:rFonts w:eastAsiaTheme="minorHAnsi"/>
          <w:b/>
          <w:i/>
          <w:lang w:eastAsia="en-US"/>
        </w:rPr>
        <w:t>Constitution</w:t>
      </w:r>
      <w:r>
        <w:rPr>
          <w:rFonts w:eastAsiaTheme="minorHAnsi"/>
          <w:lang w:eastAsia="en-US"/>
        </w:rPr>
        <w:t xml:space="preserve">: </w:t>
      </w:r>
      <w:r w:rsidR="006D0FF9">
        <w:rPr>
          <w:i/>
        </w:rPr>
        <w:t>1987 Constitution of the Republic of the Philippines</w:t>
      </w:r>
    </w:p>
    <w:p w:rsidR="00AF7693" w:rsidRDefault="00AF7693" w:rsidP="00AF7693">
      <w:r>
        <w:rPr>
          <w:b/>
          <w:i/>
        </w:rPr>
        <w:t>Corazon de Jesus Complaint</w:t>
      </w:r>
      <w:r>
        <w:t xml:space="preserve">: </w:t>
      </w:r>
      <w:proofErr w:type="spellStart"/>
      <w:r w:rsidR="00B8541C">
        <w:rPr>
          <w:rFonts w:eastAsiaTheme="minorHAnsi"/>
          <w:i/>
          <w:lang w:val="en-US" w:eastAsia="en-US"/>
        </w:rPr>
        <w:t>Garsain</w:t>
      </w:r>
      <w:proofErr w:type="spellEnd"/>
      <w:r w:rsidR="00B8541C">
        <w:rPr>
          <w:rFonts w:eastAsiaTheme="minorHAnsi"/>
          <w:i/>
          <w:lang w:val="en-US" w:eastAsia="en-US"/>
        </w:rPr>
        <w:t xml:space="preserve"> et al. v. The Philippines</w:t>
      </w:r>
      <w:r w:rsidR="00B8541C">
        <w:rPr>
          <w:rFonts w:eastAsiaTheme="minorHAnsi"/>
          <w:lang w:val="en-US" w:eastAsia="en-US"/>
        </w:rPr>
        <w:t xml:space="preserve">, </w:t>
      </w:r>
      <w:r>
        <w:t>Individual Complaint to the Human Rights Committee under the Optional Protocol to the International Covenant on Civil and Political Rights (3 D</w:t>
      </w:r>
      <w:r w:rsidR="00FC5408">
        <w:t>ecember 2012)</w:t>
      </w:r>
      <w:r>
        <w:t xml:space="preserve"> </w:t>
      </w:r>
      <w:r w:rsidR="00FC5408">
        <w:t>&lt;</w:t>
      </w:r>
      <w:r w:rsidRPr="00C16574">
        <w:t>http://globalinitiative-escr.org/wp-content/uploads/2015/02/150219-Philippines-Complaint-Corazon-de-Jesus.pdf</w:t>
      </w:r>
      <w:r w:rsidR="00FC5408">
        <w:t>&gt;</w:t>
      </w:r>
    </w:p>
    <w:p w:rsidR="00D73E58" w:rsidRDefault="00D73E58" w:rsidP="00D73E58">
      <w:pPr>
        <w:rPr>
          <w:b/>
          <w:i/>
        </w:rPr>
      </w:pPr>
      <w:r w:rsidRPr="007417EE">
        <w:rPr>
          <w:rFonts w:eastAsiaTheme="minorHAnsi"/>
          <w:b/>
          <w:i/>
          <w:lang w:eastAsia="en-US"/>
        </w:rPr>
        <w:t>Council</w:t>
      </w:r>
      <w:r>
        <w:rPr>
          <w:rFonts w:eastAsiaTheme="minorHAnsi"/>
          <w:lang w:eastAsia="en-US"/>
        </w:rPr>
        <w:t xml:space="preserve">: </w:t>
      </w:r>
      <w:r w:rsidRPr="00662CBB">
        <w:rPr>
          <w:rFonts w:eastAsiaTheme="minorHAnsi"/>
          <w:lang w:eastAsia="en-US"/>
        </w:rPr>
        <w:t>Council of Elders</w:t>
      </w:r>
      <w:r w:rsidR="002A7618">
        <w:rPr>
          <w:rFonts w:eastAsiaTheme="minorHAnsi"/>
          <w:lang w:eastAsia="en-US"/>
        </w:rPr>
        <w:t xml:space="preserve"> of the Cordillera peoples</w:t>
      </w:r>
    </w:p>
    <w:p w:rsidR="00D73E58" w:rsidRDefault="00D73E58" w:rsidP="00D73E58">
      <w:r w:rsidRPr="004A3F7F">
        <w:rPr>
          <w:b/>
          <w:i/>
        </w:rPr>
        <w:t>DAR</w:t>
      </w:r>
      <w:r>
        <w:t xml:space="preserve">: </w:t>
      </w:r>
      <w:r w:rsidRPr="004A3F7F">
        <w:t xml:space="preserve">Department of Agricultural &amp; Agrarian Land Reform </w:t>
      </w:r>
    </w:p>
    <w:p w:rsidR="00D73E58" w:rsidRDefault="00D73E58" w:rsidP="00D73E58">
      <w:r w:rsidRPr="004A3F7F">
        <w:rPr>
          <w:b/>
          <w:i/>
        </w:rPr>
        <w:t>DENR</w:t>
      </w:r>
      <w:r>
        <w:t xml:space="preserve">: </w:t>
      </w:r>
      <w:r w:rsidRPr="004A3F7F">
        <w:t>Department of Environment and Natural Resources</w:t>
      </w:r>
    </w:p>
    <w:p w:rsidR="00D73E58" w:rsidRDefault="00D73E58" w:rsidP="00D73E58">
      <w:pPr>
        <w:rPr>
          <w:b/>
          <w:i/>
        </w:rPr>
      </w:pPr>
      <w:r>
        <w:rPr>
          <w:rFonts w:eastAsiaTheme="minorHAnsi"/>
          <w:b/>
          <w:i/>
          <w:lang w:val="en-US" w:eastAsia="en-US"/>
        </w:rPr>
        <w:t>Disaster Act</w:t>
      </w:r>
      <w:r>
        <w:rPr>
          <w:rFonts w:eastAsiaTheme="minorHAnsi"/>
          <w:lang w:val="en-US" w:eastAsia="en-US"/>
        </w:rPr>
        <w:t xml:space="preserve">: </w:t>
      </w:r>
      <w:r>
        <w:rPr>
          <w:rFonts w:eastAsiaTheme="minorHAnsi"/>
          <w:i/>
          <w:lang w:val="en-US" w:eastAsia="en-US"/>
        </w:rPr>
        <w:t xml:space="preserve">Disaster Risk Reduction and Management Act of 2010 </w:t>
      </w:r>
      <w:r>
        <w:rPr>
          <w:rFonts w:eastAsiaTheme="minorHAnsi"/>
          <w:lang w:val="en-US" w:eastAsia="en-US"/>
        </w:rPr>
        <w:t>(</w:t>
      </w:r>
      <w:r w:rsidRPr="000C7F2B">
        <w:rPr>
          <w:rFonts w:eastAsiaTheme="minorHAnsi"/>
          <w:lang w:val="en-US" w:eastAsia="en-US"/>
        </w:rPr>
        <w:t>Republic Act 1012)</w:t>
      </w:r>
    </w:p>
    <w:p w:rsidR="00D73E58" w:rsidRDefault="00D73E58" w:rsidP="00D73E58">
      <w:r w:rsidRPr="004A3F7F">
        <w:rPr>
          <w:b/>
          <w:i/>
        </w:rPr>
        <w:t>DOJ</w:t>
      </w:r>
      <w:r>
        <w:t xml:space="preserve">: </w:t>
      </w:r>
      <w:r w:rsidRPr="004A3F7F">
        <w:t>Department of Justice</w:t>
      </w:r>
    </w:p>
    <w:p w:rsidR="00AF7693" w:rsidRPr="004A3F7F" w:rsidRDefault="00AF7693" w:rsidP="00AF7693">
      <w:pPr>
        <w:rPr>
          <w:rFonts w:eastAsiaTheme="minorHAnsi"/>
          <w:lang w:eastAsia="en-US"/>
        </w:rPr>
      </w:pPr>
      <w:r w:rsidRPr="00EA11CD">
        <w:rPr>
          <w:rFonts w:eastAsiaTheme="minorHAnsi"/>
          <w:b/>
          <w:i/>
          <w:lang w:eastAsia="en-US"/>
        </w:rPr>
        <w:t>EPs</w:t>
      </w:r>
      <w:r>
        <w:rPr>
          <w:rFonts w:eastAsiaTheme="minorHAnsi"/>
          <w:lang w:eastAsia="en-US"/>
        </w:rPr>
        <w:t xml:space="preserve">: </w:t>
      </w:r>
      <w:r w:rsidRPr="004A3F7F">
        <w:rPr>
          <w:rFonts w:eastAsiaTheme="minorHAnsi"/>
          <w:lang w:eastAsia="en-US"/>
        </w:rPr>
        <w:t>Emancipation Patents</w:t>
      </w:r>
    </w:p>
    <w:p w:rsidR="00AF7693" w:rsidRPr="00FA62B7" w:rsidRDefault="00AF7693" w:rsidP="00AF7693">
      <w:pPr>
        <w:jc w:val="both"/>
        <w:rPr>
          <w:rFonts w:eastAsiaTheme="minorHAnsi" w:cs="Arial"/>
          <w:lang w:eastAsia="en-US"/>
        </w:rPr>
      </w:pPr>
      <w:r w:rsidRPr="008A0004">
        <w:rPr>
          <w:rFonts w:eastAsiaTheme="minorHAnsi" w:cs="Arial"/>
          <w:b/>
          <w:i/>
          <w:lang w:eastAsia="en-US"/>
        </w:rPr>
        <w:t>Fisheries Code</w:t>
      </w:r>
      <w:r>
        <w:rPr>
          <w:rFonts w:eastAsiaTheme="minorHAnsi" w:cs="Arial"/>
          <w:lang w:eastAsia="en-US"/>
        </w:rPr>
        <w:t xml:space="preserve">: </w:t>
      </w:r>
      <w:hyperlink r:id="rId60" w:history="1">
        <w:r w:rsidRPr="0037783D">
          <w:rPr>
            <w:rStyle w:val="Hyperlink"/>
            <w:rFonts w:eastAsiaTheme="minorHAnsi" w:cs="Arial"/>
            <w:i/>
            <w:lang w:eastAsia="en-US"/>
          </w:rPr>
          <w:t>Philippine Fisheries Code of 1998</w:t>
        </w:r>
      </w:hyperlink>
      <w:r w:rsidRPr="00FA62B7">
        <w:rPr>
          <w:rFonts w:eastAsiaTheme="minorHAnsi" w:cs="Arial"/>
          <w:lang w:eastAsia="en-US"/>
        </w:rPr>
        <w:t xml:space="preserve"> (Republic Act 8550)</w:t>
      </w:r>
    </w:p>
    <w:p w:rsidR="00D73E58" w:rsidRDefault="00D73E58" w:rsidP="00D73E58">
      <w:pPr>
        <w:rPr>
          <w:b/>
          <w:i/>
        </w:rPr>
      </w:pPr>
      <w:r w:rsidRPr="009B0D22">
        <w:rPr>
          <w:rFonts w:eastAsiaTheme="minorHAnsi"/>
          <w:b/>
          <w:i/>
          <w:lang w:eastAsia="en-US"/>
        </w:rPr>
        <w:t>HUDCC</w:t>
      </w:r>
      <w:r>
        <w:rPr>
          <w:rFonts w:eastAsiaTheme="minorHAnsi"/>
          <w:lang w:eastAsia="en-US"/>
        </w:rPr>
        <w:t>: Housing and Urban Development Coordinating Council</w:t>
      </w:r>
    </w:p>
    <w:p w:rsidR="00D73E58" w:rsidRDefault="00D73E58" w:rsidP="00D73E58">
      <w:r w:rsidRPr="00460585">
        <w:rPr>
          <w:b/>
          <w:i/>
        </w:rPr>
        <w:t>HUCs</w:t>
      </w:r>
      <w:r>
        <w:t xml:space="preserve">: </w:t>
      </w:r>
      <w:r w:rsidRPr="0063639E">
        <w:t xml:space="preserve">highly urbanised cities </w:t>
      </w:r>
    </w:p>
    <w:p w:rsidR="00D73E58" w:rsidRDefault="00D73E58" w:rsidP="00D73E58">
      <w:pPr>
        <w:rPr>
          <w:lang w:val="en-GB"/>
        </w:rPr>
      </w:pPr>
      <w:r w:rsidRPr="00F602D2">
        <w:rPr>
          <w:b/>
          <w:i/>
        </w:rPr>
        <w:t>ICCs</w:t>
      </w:r>
      <w:r>
        <w:t xml:space="preserve">: </w:t>
      </w:r>
      <w:r w:rsidRPr="00534B75">
        <w:t>indigenous cultural communities</w:t>
      </w:r>
    </w:p>
    <w:p w:rsidR="00D73E58" w:rsidRDefault="00D73E58" w:rsidP="00D73E58">
      <w:pPr>
        <w:rPr>
          <w:b/>
          <w:bCs/>
          <w:i/>
          <w:lang w:val="en-GB"/>
        </w:rPr>
      </w:pPr>
      <w:r>
        <w:rPr>
          <w:rFonts w:eastAsiaTheme="minorHAnsi"/>
          <w:b/>
          <w:i/>
          <w:lang w:val="en-US" w:eastAsia="en-US"/>
        </w:rPr>
        <w:t>ICESCR</w:t>
      </w:r>
      <w:r>
        <w:rPr>
          <w:rFonts w:eastAsiaTheme="minorHAnsi"/>
          <w:lang w:val="en-US" w:eastAsia="en-US"/>
        </w:rPr>
        <w:t>: International Covenant on Economic, Social and Cultural Rights</w:t>
      </w:r>
    </w:p>
    <w:p w:rsidR="00D73E58" w:rsidRDefault="00D73E58" w:rsidP="00D73E58">
      <w:pPr>
        <w:rPr>
          <w:lang w:val="en-GB"/>
        </w:rPr>
      </w:pPr>
      <w:r w:rsidRPr="00B41242">
        <w:rPr>
          <w:b/>
          <w:bCs/>
          <w:i/>
          <w:lang w:val="en-GB"/>
        </w:rPr>
        <w:t>IFRC</w:t>
      </w:r>
      <w:r>
        <w:rPr>
          <w:lang w:val="en-GB"/>
        </w:rPr>
        <w:t xml:space="preserve">: </w:t>
      </w:r>
      <w:r w:rsidRPr="00DA20DA">
        <w:rPr>
          <w:lang w:val="en-GB"/>
        </w:rPr>
        <w:t>International Federation of Red Cross and Red Crescent Societies</w:t>
      </w:r>
    </w:p>
    <w:p w:rsidR="00D73E58" w:rsidRDefault="00D73E58" w:rsidP="00D73E58">
      <w:r w:rsidRPr="00F602D2">
        <w:rPr>
          <w:b/>
          <w:i/>
        </w:rPr>
        <w:t>IPs</w:t>
      </w:r>
      <w:r>
        <w:t>: i</w:t>
      </w:r>
      <w:r w:rsidRPr="00534B75">
        <w:t xml:space="preserve">ndigenous </w:t>
      </w:r>
      <w:r>
        <w:t>p</w:t>
      </w:r>
      <w:r w:rsidRPr="00534B75">
        <w:t>eoples of the Philippines</w:t>
      </w:r>
    </w:p>
    <w:p w:rsidR="00D73E58" w:rsidRDefault="00D73E58" w:rsidP="00D73E58">
      <w:r w:rsidRPr="00534B75">
        <w:rPr>
          <w:b/>
          <w:i/>
        </w:rPr>
        <w:t>IPRA</w:t>
      </w:r>
      <w:r>
        <w:t xml:space="preserve">: </w:t>
      </w:r>
      <w:r w:rsidRPr="00EE769A">
        <w:rPr>
          <w:i/>
        </w:rPr>
        <w:t>Indigenous Persons Rights Act of 1997</w:t>
      </w:r>
      <w:r w:rsidRPr="00534B75">
        <w:t xml:space="preserve"> </w:t>
      </w:r>
      <w:r>
        <w:t>(Republic Act 8371)</w:t>
      </w:r>
    </w:p>
    <w:p w:rsidR="00B41242" w:rsidRPr="00FA62B7" w:rsidRDefault="00B41242" w:rsidP="00885CA0">
      <w:pPr>
        <w:jc w:val="both"/>
        <w:rPr>
          <w:rFonts w:eastAsiaTheme="minorHAnsi" w:cs="Arial"/>
          <w:lang w:eastAsia="en-US"/>
        </w:rPr>
      </w:pPr>
      <w:r w:rsidRPr="00BB7A13">
        <w:rPr>
          <w:rFonts w:eastAsiaTheme="minorHAnsi" w:cs="Arial"/>
          <w:b/>
          <w:i/>
          <w:lang w:eastAsia="en-US"/>
        </w:rPr>
        <w:t>Local Government Code</w:t>
      </w:r>
      <w:r w:rsidR="00885CA0">
        <w:rPr>
          <w:rFonts w:eastAsiaTheme="minorHAnsi" w:cs="Arial"/>
          <w:lang w:eastAsia="en-US"/>
        </w:rPr>
        <w:t xml:space="preserve">: </w:t>
      </w:r>
      <w:hyperlink r:id="rId61" w:history="1">
        <w:r w:rsidR="00885CA0" w:rsidRPr="00DC4700">
          <w:rPr>
            <w:rStyle w:val="Hyperlink"/>
            <w:rFonts w:eastAsiaTheme="minorHAnsi" w:cs="Arial"/>
            <w:i/>
            <w:lang w:eastAsia="en-US"/>
          </w:rPr>
          <w:t>Local Government Code of 1991</w:t>
        </w:r>
        <w:r w:rsidR="00885CA0" w:rsidRPr="00DC4700">
          <w:rPr>
            <w:rStyle w:val="Hyperlink"/>
            <w:rFonts w:eastAsiaTheme="minorHAnsi" w:cs="Arial"/>
            <w:lang w:eastAsia="en-US"/>
          </w:rPr>
          <w:t xml:space="preserve"> </w:t>
        </w:r>
      </w:hyperlink>
      <w:r w:rsidR="00885CA0">
        <w:rPr>
          <w:rFonts w:eastAsiaTheme="minorHAnsi" w:cs="Arial"/>
          <w:lang w:eastAsia="en-US"/>
        </w:rPr>
        <w:t>(Republic Act 7160)</w:t>
      </w:r>
    </w:p>
    <w:p w:rsidR="00AF7693" w:rsidRDefault="00AF7693" w:rsidP="00AF7693">
      <w:r w:rsidRPr="005C4248">
        <w:rPr>
          <w:b/>
          <w:i/>
          <w:lang w:val="en"/>
        </w:rPr>
        <w:lastRenderedPageBreak/>
        <w:t>LGUs</w:t>
      </w:r>
      <w:r>
        <w:rPr>
          <w:lang w:val="en"/>
        </w:rPr>
        <w:t xml:space="preserve">: Local Government Units </w:t>
      </w:r>
    </w:p>
    <w:p w:rsidR="00AF7693" w:rsidRDefault="00AF7693" w:rsidP="00AF7693">
      <w:r w:rsidRPr="004A3F7F">
        <w:rPr>
          <w:b/>
          <w:i/>
        </w:rPr>
        <w:t>LR</w:t>
      </w:r>
      <w:r>
        <w:rPr>
          <w:b/>
          <w:i/>
        </w:rPr>
        <w:t>A</w:t>
      </w:r>
      <w:r>
        <w:t xml:space="preserve">: </w:t>
      </w:r>
      <w:r w:rsidRPr="004A3F7F">
        <w:t>Land Registration Authority</w:t>
      </w:r>
    </w:p>
    <w:p w:rsidR="00AF7693" w:rsidRDefault="00AF7693" w:rsidP="00AF7693">
      <w:r>
        <w:rPr>
          <w:b/>
          <w:i/>
        </w:rPr>
        <w:t>MNLF</w:t>
      </w:r>
      <w:r>
        <w:t xml:space="preserve">: </w:t>
      </w:r>
      <w:r w:rsidRPr="00CC13BF">
        <w:t>Moro National Liberation</w:t>
      </w:r>
      <w:r>
        <w:t xml:space="preserve"> Front</w:t>
      </w:r>
    </w:p>
    <w:p w:rsidR="00AF7693" w:rsidRDefault="00AF7693" w:rsidP="00AF7693">
      <w:pPr>
        <w:rPr>
          <w:rFonts w:eastAsiaTheme="minorHAnsi"/>
          <w:lang w:val="en-US" w:eastAsia="en-US"/>
        </w:rPr>
      </w:pPr>
      <w:r w:rsidRPr="003F1450">
        <w:rPr>
          <w:rFonts w:eastAsiaTheme="minorHAnsi"/>
          <w:b/>
          <w:i/>
          <w:lang w:val="en-US" w:eastAsia="en-US"/>
        </w:rPr>
        <w:t>MPL Code</w:t>
      </w:r>
      <w:r>
        <w:rPr>
          <w:rFonts w:eastAsiaTheme="minorHAnsi"/>
          <w:lang w:val="en-US" w:eastAsia="en-US"/>
        </w:rPr>
        <w:t xml:space="preserve">: </w:t>
      </w:r>
      <w:r w:rsidRPr="003F1450">
        <w:rPr>
          <w:rFonts w:eastAsiaTheme="minorHAnsi"/>
          <w:lang w:val="en-US" w:eastAsia="en-US"/>
        </w:rPr>
        <w:t>Code of Muslim Personal Laws</w:t>
      </w:r>
    </w:p>
    <w:p w:rsidR="00AF7693" w:rsidRDefault="00AF7693" w:rsidP="00AF7693">
      <w:r w:rsidRPr="004A3F7F">
        <w:rPr>
          <w:b/>
          <w:i/>
        </w:rPr>
        <w:t>NCIP</w:t>
      </w:r>
      <w:r>
        <w:t xml:space="preserve">: </w:t>
      </w:r>
      <w:r w:rsidRPr="004A3F7F">
        <w:t>National Commission on Indigenous Peoples</w:t>
      </w:r>
    </w:p>
    <w:p w:rsidR="00AF7693" w:rsidRDefault="00AF7693" w:rsidP="00AF7693">
      <w:r>
        <w:rPr>
          <w:b/>
          <w:i/>
        </w:rPr>
        <w:t>NPA</w:t>
      </w:r>
      <w:r>
        <w:t>: New People's Army</w:t>
      </w:r>
    </w:p>
    <w:p w:rsidR="00AF7693" w:rsidRPr="00D73E58" w:rsidRDefault="00AF7693" w:rsidP="00AF7693">
      <w:r w:rsidRPr="004A3F7F">
        <w:rPr>
          <w:b/>
          <w:i/>
        </w:rPr>
        <w:t>OMCT</w:t>
      </w:r>
      <w:r>
        <w:t xml:space="preserve">: </w:t>
      </w:r>
      <w:r w:rsidRPr="004A3F7F">
        <w:t xml:space="preserve">World Organisation </w:t>
      </w:r>
      <w:proofErr w:type="gramStart"/>
      <w:r w:rsidRPr="004A3F7F">
        <w:t>Against</w:t>
      </w:r>
      <w:proofErr w:type="gramEnd"/>
      <w:r w:rsidRPr="004A3F7F">
        <w:t xml:space="preserve"> Torture</w:t>
      </w:r>
    </w:p>
    <w:p w:rsidR="00AF7693" w:rsidRDefault="00AF7693" w:rsidP="00AF7693">
      <w:pPr>
        <w:rPr>
          <w:rFonts w:eastAsiaTheme="minorHAnsi"/>
          <w:lang w:eastAsia="en-US"/>
        </w:rPr>
      </w:pPr>
      <w:r w:rsidRPr="00477531">
        <w:rPr>
          <w:rFonts w:eastAsiaTheme="minorHAnsi"/>
          <w:b/>
          <w:i/>
          <w:lang w:eastAsia="en-US"/>
        </w:rPr>
        <w:t>PHPF</w:t>
      </w:r>
      <w:r>
        <w:rPr>
          <w:rFonts w:eastAsiaTheme="minorHAnsi"/>
          <w:lang w:eastAsia="en-US"/>
        </w:rPr>
        <w:t>: Philippines Homeless People's Federation</w:t>
      </w:r>
    </w:p>
    <w:p w:rsidR="00AF7693" w:rsidRDefault="00AF7693" w:rsidP="00AF7693">
      <w:pPr>
        <w:pStyle w:val="Bullet1"/>
        <w:numPr>
          <w:ilvl w:val="0"/>
          <w:numId w:val="0"/>
        </w:numPr>
        <w:ind w:left="709" w:hanging="709"/>
        <w:jc w:val="both"/>
        <w:rPr>
          <w:rFonts w:cs="Arial"/>
        </w:rPr>
      </w:pPr>
      <w:r w:rsidRPr="000003A0">
        <w:rPr>
          <w:rFonts w:cs="Arial"/>
          <w:b/>
          <w:i/>
        </w:rPr>
        <w:t>PRD 1529</w:t>
      </w:r>
      <w:r>
        <w:rPr>
          <w:rFonts w:cs="Arial"/>
        </w:rPr>
        <w:t xml:space="preserve">: </w:t>
      </w:r>
      <w:hyperlink r:id="rId62" w:history="1">
        <w:r w:rsidRPr="004D534F">
          <w:rPr>
            <w:rStyle w:val="Hyperlink"/>
            <w:rFonts w:cs="Arial"/>
            <w:i/>
          </w:rPr>
          <w:t>Property Registration Decree</w:t>
        </w:r>
      </w:hyperlink>
      <w:r w:rsidRPr="00FA62B7">
        <w:rPr>
          <w:rFonts w:cs="Arial"/>
          <w:i/>
        </w:rPr>
        <w:t xml:space="preserve"> </w:t>
      </w:r>
      <w:r w:rsidRPr="00FA62B7">
        <w:rPr>
          <w:rFonts w:cs="Arial"/>
        </w:rPr>
        <w:t>(Presidential Decree 1529</w:t>
      </w:r>
      <w:r>
        <w:rPr>
          <w:rFonts w:cs="Arial"/>
        </w:rPr>
        <w:t>)</w:t>
      </w:r>
    </w:p>
    <w:p w:rsidR="00B41242" w:rsidRDefault="00B41242" w:rsidP="00885CA0">
      <w:pPr>
        <w:pStyle w:val="Bullet1"/>
        <w:numPr>
          <w:ilvl w:val="0"/>
          <w:numId w:val="0"/>
        </w:numPr>
        <w:ind w:left="709" w:hanging="709"/>
        <w:jc w:val="both"/>
        <w:rPr>
          <w:rFonts w:cs="Arial"/>
        </w:rPr>
      </w:pPr>
      <w:r w:rsidRPr="000003A0">
        <w:rPr>
          <w:rFonts w:cs="Arial"/>
          <w:b/>
          <w:i/>
        </w:rPr>
        <w:t>RFP Act</w:t>
      </w:r>
      <w:r w:rsidR="00885CA0">
        <w:rPr>
          <w:rFonts w:cs="Arial"/>
        </w:rPr>
        <w:t xml:space="preserve">: </w:t>
      </w:r>
      <w:hyperlink r:id="rId63" w:history="1">
        <w:r w:rsidR="00885CA0" w:rsidRPr="00B84820">
          <w:rPr>
            <w:rStyle w:val="Hyperlink"/>
            <w:rFonts w:cs="Arial"/>
            <w:i/>
          </w:rPr>
          <w:t>Residential Free Patent Act of 2009</w:t>
        </w:r>
      </w:hyperlink>
      <w:r w:rsidR="00885CA0" w:rsidRPr="00FA62B7">
        <w:rPr>
          <w:rFonts w:cs="Arial"/>
        </w:rPr>
        <w:t xml:space="preserve"> (Republic Act 10023)</w:t>
      </w:r>
    </w:p>
    <w:p w:rsidR="00AF7693" w:rsidRPr="00B41242" w:rsidRDefault="00AF7693" w:rsidP="00AF7693">
      <w:pPr>
        <w:rPr>
          <w:lang w:val="en-GB"/>
        </w:rPr>
      </w:pPr>
      <w:r>
        <w:rPr>
          <w:rFonts w:eastAsiaTheme="minorHAnsi"/>
          <w:b/>
          <w:i/>
          <w:lang w:val="en-US" w:eastAsia="en-US"/>
        </w:rPr>
        <w:t>Supreme Court Rules</w:t>
      </w:r>
      <w:r>
        <w:rPr>
          <w:rFonts w:eastAsiaTheme="minorHAnsi"/>
          <w:lang w:val="en-US" w:eastAsia="en-US"/>
        </w:rPr>
        <w:t>: 1997 Rules of Civil Procedure, as amended (Rules 1-71, Rules of Court) (effective 1 July 1997)</w:t>
      </w:r>
    </w:p>
    <w:p w:rsidR="00B41242" w:rsidRPr="00FA62B7" w:rsidRDefault="00B41242" w:rsidP="00885CA0">
      <w:pPr>
        <w:pStyle w:val="Bullet1"/>
        <w:numPr>
          <w:ilvl w:val="0"/>
          <w:numId w:val="0"/>
        </w:numPr>
        <w:ind w:left="709" w:hanging="709"/>
        <w:jc w:val="both"/>
        <w:rPr>
          <w:rFonts w:eastAsiaTheme="minorHAnsi" w:cs="Arial"/>
          <w:lang w:eastAsia="en-US"/>
        </w:rPr>
      </w:pPr>
      <w:r w:rsidRPr="000003A0">
        <w:rPr>
          <w:rFonts w:cs="Arial"/>
          <w:b/>
          <w:i/>
        </w:rPr>
        <w:t>UDHA</w:t>
      </w:r>
      <w:r w:rsidR="00885CA0">
        <w:rPr>
          <w:rFonts w:cs="Arial"/>
        </w:rPr>
        <w:t xml:space="preserve">: </w:t>
      </w:r>
      <w:hyperlink r:id="rId64" w:history="1">
        <w:r w:rsidR="00885CA0" w:rsidRPr="00276F4D">
          <w:rPr>
            <w:rStyle w:val="Hyperlink"/>
            <w:rFonts w:cs="Arial"/>
            <w:i/>
          </w:rPr>
          <w:t>Urban Development and Housing Act of 1992</w:t>
        </w:r>
        <w:r w:rsidR="00885CA0" w:rsidRPr="00276F4D">
          <w:rPr>
            <w:rStyle w:val="Hyperlink"/>
            <w:rFonts w:cs="Arial"/>
          </w:rPr>
          <w:t xml:space="preserve"> </w:t>
        </w:r>
      </w:hyperlink>
      <w:r w:rsidR="00AF7693">
        <w:rPr>
          <w:rFonts w:cs="Arial"/>
        </w:rPr>
        <w:t>(Republic Act 7279)</w:t>
      </w:r>
    </w:p>
    <w:sectPr w:rsidR="00B41242" w:rsidRPr="00FA62B7" w:rsidSect="00465A5D">
      <w:headerReference w:type="default" r:id="rId65"/>
      <w:footerReference w:type="default" r:id="rId66"/>
      <w:headerReference w:type="first" r:id="rId67"/>
      <w:footerReference w:type="first" r:id="rId68"/>
      <w:pgSz w:w="11907" w:h="16839"/>
      <w:pgMar w:top="1701" w:right="1134"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3A" w:rsidRDefault="006A113A" w:rsidP="00620C38">
      <w:pPr>
        <w:spacing w:before="0" w:line="240" w:lineRule="auto"/>
      </w:pPr>
      <w:r>
        <w:separator/>
      </w:r>
    </w:p>
  </w:endnote>
  <w:endnote w:type="continuationSeparator" w:id="0">
    <w:p w:rsidR="006A113A" w:rsidRDefault="006A113A" w:rsidP="00620C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C373AC" w:rsidTr="00E1605F">
      <w:tc>
        <w:tcPr>
          <w:tcW w:w="8647" w:type="dxa"/>
        </w:tcPr>
        <w:p w:rsidR="00C373AC" w:rsidRDefault="00493485" w:rsidP="00E1605F">
          <w:pPr>
            <w:pStyle w:val="Footer"/>
          </w:pPr>
          <w:fldSimple w:instr=" DOCPROPERTY &quot;DOCSFooter&quot;  \* MERGEFORMAT ">
            <w:r w:rsidR="00C373AC">
              <w:t xml:space="preserve">rrmm A0142576838v1 120641715 </w:t>
            </w:r>
          </w:fldSimple>
          <w:r w:rsidR="00C373AC">
            <w:t xml:space="preserve"> </w:t>
          </w:r>
          <w:r w:rsidR="00C373AC">
            <w:fldChar w:fldCharType="begin"/>
          </w:r>
          <w:r w:rsidR="00C373AC">
            <w:instrText xml:space="preserve"> SAVEDATE \@ "d.M.yyyy" \* MERGEFORMAT </w:instrText>
          </w:r>
          <w:r w:rsidR="00C373AC">
            <w:fldChar w:fldCharType="separate"/>
          </w:r>
          <w:r w:rsidR="00066BB8">
            <w:t>23.5.2018</w:t>
          </w:r>
          <w:r w:rsidR="00C373AC">
            <w:fldChar w:fldCharType="end"/>
          </w:r>
        </w:p>
      </w:tc>
      <w:tc>
        <w:tcPr>
          <w:tcW w:w="709" w:type="dxa"/>
        </w:tcPr>
        <w:p w:rsidR="00C373AC" w:rsidRDefault="00C373AC" w:rsidP="00E1605F">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66BB8">
            <w:rPr>
              <w:snapToGrid w:val="0"/>
            </w:rPr>
            <w:t>48</w:t>
          </w:r>
          <w:r>
            <w:rPr>
              <w:snapToGrid w:val="0"/>
            </w:rPr>
            <w:fldChar w:fldCharType="end"/>
          </w:r>
        </w:p>
      </w:tc>
    </w:tr>
  </w:tbl>
  <w:p w:rsidR="00C373AC" w:rsidRPr="00715357" w:rsidRDefault="00C373AC" w:rsidP="00715357">
    <w:pPr>
      <w:pStyle w:val="Footer"/>
    </w:pPr>
    <w:r>
      <w:rPr>
        <w:sz w:val="12"/>
      </w:rPr>
      <w:t>Allens is an independent partnership operating in alliance with Linklaters LLP.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Borders>
        <w:top w:val="single" w:sz="4" w:space="0" w:color="auto"/>
      </w:tblBorders>
      <w:tblLayout w:type="fixed"/>
      <w:tblCellMar>
        <w:left w:w="0" w:type="dxa"/>
        <w:right w:w="0" w:type="dxa"/>
      </w:tblCellMar>
      <w:tblLook w:val="0000" w:firstRow="0" w:lastRow="0" w:firstColumn="0" w:lastColumn="0" w:noHBand="0" w:noVBand="0"/>
    </w:tblPr>
    <w:tblGrid>
      <w:gridCol w:w="8647"/>
      <w:gridCol w:w="709"/>
    </w:tblGrid>
    <w:tr w:rsidR="00C373AC" w:rsidTr="00AB7548">
      <w:tc>
        <w:tcPr>
          <w:tcW w:w="8647" w:type="dxa"/>
        </w:tcPr>
        <w:p w:rsidR="00C373AC" w:rsidRDefault="00493485" w:rsidP="00AB7548">
          <w:pPr>
            <w:pStyle w:val="Footer"/>
          </w:pPr>
          <w:fldSimple w:instr=" DOCPROPERTY &quot;DOCSFooter&quot;  \* MERGEFORMAT ">
            <w:r w:rsidR="00C373AC">
              <w:t xml:space="preserve">rrmm A0142576838v1 120641715 </w:t>
            </w:r>
          </w:fldSimple>
          <w:r w:rsidR="00C373AC">
            <w:t xml:space="preserve"> </w:t>
          </w:r>
          <w:r w:rsidR="00C373AC">
            <w:fldChar w:fldCharType="begin"/>
          </w:r>
          <w:r w:rsidR="00C373AC">
            <w:instrText xml:space="preserve"> SAVEDATE \@ "d.M.yyyy" \* MERGEFORMAT </w:instrText>
          </w:r>
          <w:r w:rsidR="00C373AC">
            <w:fldChar w:fldCharType="separate"/>
          </w:r>
          <w:r w:rsidR="00066BB8">
            <w:t>23.5.2018</w:t>
          </w:r>
          <w:r w:rsidR="00C373AC">
            <w:fldChar w:fldCharType="end"/>
          </w:r>
        </w:p>
      </w:tc>
      <w:tc>
        <w:tcPr>
          <w:tcW w:w="709" w:type="dxa"/>
        </w:tcPr>
        <w:p w:rsidR="00C373AC" w:rsidRDefault="00C373AC" w:rsidP="00AB7548">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66BB8">
            <w:rPr>
              <w:snapToGrid w:val="0"/>
            </w:rPr>
            <w:t>1</w:t>
          </w:r>
          <w:r>
            <w:rPr>
              <w:snapToGrid w:val="0"/>
            </w:rPr>
            <w:fldChar w:fldCharType="end"/>
          </w:r>
        </w:p>
      </w:tc>
    </w:tr>
  </w:tbl>
  <w:p w:rsidR="00C373AC" w:rsidRPr="00620C38" w:rsidRDefault="00C373AC" w:rsidP="00620C38">
    <w:pPr>
      <w:pStyle w:val="Footer"/>
    </w:pPr>
    <w:bookmarkStart w:id="116" w:name="DocumentDisclaimer"/>
    <w:r>
      <w:rPr>
        <w:sz w:val="12"/>
      </w:rPr>
      <w:t>Allens is an independent partnership operating in alliance with Linklaters LLP.</w:t>
    </w:r>
    <w:bookmarkEnd w:id="11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3A" w:rsidRDefault="006A113A" w:rsidP="00620C38">
      <w:pPr>
        <w:spacing w:before="0" w:line="240" w:lineRule="auto"/>
      </w:pPr>
      <w:r>
        <w:separator/>
      </w:r>
    </w:p>
  </w:footnote>
  <w:footnote w:type="continuationSeparator" w:id="0">
    <w:p w:rsidR="006A113A" w:rsidRDefault="006A113A" w:rsidP="00620C38">
      <w:pPr>
        <w:spacing w:before="0" w:line="240" w:lineRule="auto"/>
      </w:pPr>
      <w:r>
        <w:continuationSeparator/>
      </w:r>
    </w:p>
  </w:footnote>
  <w:footnote w:id="1">
    <w:p w:rsidR="00C373AC" w:rsidRDefault="00C373AC" w:rsidP="004A3F7F">
      <w:pPr>
        <w:pStyle w:val="FootnoteText"/>
      </w:pPr>
      <w:r>
        <w:rPr>
          <w:rStyle w:val="FootnoteReference"/>
        </w:rPr>
        <w:footnoteRef/>
      </w:r>
      <w:r>
        <w:t xml:space="preserve"> </w:t>
      </w:r>
      <w:proofErr w:type="gramStart"/>
      <w:r>
        <w:t xml:space="preserve">Michael </w:t>
      </w:r>
      <w:r w:rsidRPr="00BD3CBA">
        <w:t>Lindfield</w:t>
      </w:r>
      <w:r>
        <w:t xml:space="preserve"> and </w:t>
      </w:r>
      <w:proofErr w:type="spellStart"/>
      <w:r>
        <w:t>Ramola</w:t>
      </w:r>
      <w:proofErr w:type="spellEnd"/>
      <w:r w:rsidRPr="00BD3CBA">
        <w:t xml:space="preserve"> </w:t>
      </w:r>
      <w:proofErr w:type="spellStart"/>
      <w:r w:rsidRPr="00BD3CBA">
        <w:t>Naik</w:t>
      </w:r>
      <w:proofErr w:type="spellEnd"/>
      <w:r w:rsidRPr="00BD3CBA">
        <w:t xml:space="preserve"> </w:t>
      </w:r>
      <w:proofErr w:type="spellStart"/>
      <w:r w:rsidRPr="00BD3CBA">
        <w:t>Singru</w:t>
      </w:r>
      <w:proofErr w:type="spellEnd"/>
      <w:r>
        <w:t>,</w:t>
      </w:r>
      <w:r w:rsidRPr="00BD3CBA">
        <w:t xml:space="preserve"> </w:t>
      </w:r>
      <w:r w:rsidRPr="00396D5C">
        <w:rPr>
          <w:i/>
        </w:rPr>
        <w:t>Republic of the Philippines National Urban Assessment</w:t>
      </w:r>
      <w:r>
        <w:t>,</w:t>
      </w:r>
      <w:r w:rsidRPr="00BD3CBA">
        <w:t xml:space="preserve"> A</w:t>
      </w:r>
      <w:r>
        <w:t>sian Development Bank (2015) p 2 &lt;</w:t>
      </w:r>
      <w:r w:rsidRPr="008D0015">
        <w:t>https://www.adb.org/sites/default/files/publication/42817/philippines-national-urban-assessment.pdf</w:t>
      </w:r>
      <w:r>
        <w:t>&gt;.</w:t>
      </w:r>
      <w:proofErr w:type="gramEnd"/>
    </w:p>
  </w:footnote>
  <w:footnote w:id="2">
    <w:p w:rsidR="00C373AC" w:rsidRDefault="00C373AC" w:rsidP="004A3F7F">
      <w:pPr>
        <w:pStyle w:val="FootnoteText"/>
      </w:pPr>
      <w:r>
        <w:rPr>
          <w:rStyle w:val="FootnoteReference"/>
        </w:rPr>
        <w:footnoteRef/>
      </w:r>
      <w:r>
        <w:t xml:space="preserve"> Ibid p 2-3.</w:t>
      </w:r>
    </w:p>
  </w:footnote>
  <w:footnote w:id="3">
    <w:p w:rsidR="00C373AC" w:rsidRDefault="00C373AC" w:rsidP="004A3F7F">
      <w:pPr>
        <w:pStyle w:val="FootnoteText"/>
      </w:pPr>
      <w:r>
        <w:rPr>
          <w:rStyle w:val="FootnoteReference"/>
        </w:rPr>
        <w:footnoteRef/>
      </w:r>
      <w:r>
        <w:t xml:space="preserve"> </w:t>
      </w:r>
      <w:proofErr w:type="gramStart"/>
      <w:r>
        <w:t>Ibid p 3.</w:t>
      </w:r>
      <w:proofErr w:type="gramEnd"/>
    </w:p>
  </w:footnote>
  <w:footnote w:id="4">
    <w:p w:rsidR="00C373AC" w:rsidRDefault="00C373AC" w:rsidP="004A3F7F">
      <w:pPr>
        <w:pStyle w:val="FootnoteText"/>
      </w:pPr>
      <w:r>
        <w:rPr>
          <w:rStyle w:val="FootnoteReference"/>
        </w:rPr>
        <w:footnoteRef/>
      </w:r>
      <w:r>
        <w:t xml:space="preserve"> Philippine Statistics Authority, </w:t>
      </w:r>
      <w:r w:rsidRPr="00396D5C">
        <w:rPr>
          <w:i/>
        </w:rPr>
        <w:t>Highlights of the Philippine Population 2015 Census of Population</w:t>
      </w:r>
      <w:r>
        <w:t xml:space="preserve"> (</w:t>
      </w:r>
      <w:r w:rsidRPr="00BD3CBA">
        <w:t>2016</w:t>
      </w:r>
      <w:r>
        <w:t>) &lt;</w:t>
      </w:r>
      <w:r w:rsidRPr="008D0015">
        <w:t>https://psa.gov.ph/content/highlights-philippine-population-2015-census-population</w:t>
      </w:r>
      <w:r>
        <w:t>&gt;.</w:t>
      </w:r>
    </w:p>
  </w:footnote>
  <w:footnote w:id="5">
    <w:p w:rsidR="00C373AC" w:rsidRDefault="00C373AC">
      <w:pPr>
        <w:pStyle w:val="FootnoteText"/>
      </w:pPr>
      <w:r>
        <w:rPr>
          <w:rStyle w:val="FootnoteReference"/>
        </w:rPr>
        <w:footnoteRef/>
      </w:r>
      <w:r>
        <w:t xml:space="preserve"> CALABARZON stands for Cavite, Laguna, </w:t>
      </w:r>
      <w:proofErr w:type="spellStart"/>
      <w:r>
        <w:t>Bantangas</w:t>
      </w:r>
      <w:proofErr w:type="spellEnd"/>
      <w:r>
        <w:t xml:space="preserve">, Rizal and Quezon. </w:t>
      </w:r>
    </w:p>
  </w:footnote>
  <w:footnote w:id="6">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_Ref504404582 \h </w:instrText>
      </w:r>
      <w:r>
        <w:fldChar w:fldCharType="separate"/>
      </w:r>
      <w:r>
        <w:t>4</w:t>
      </w:r>
      <w:r>
        <w:fldChar w:fldCharType="end"/>
      </w:r>
      <w:r>
        <w:t>.</w:t>
      </w:r>
      <w:proofErr w:type="gramEnd"/>
    </w:p>
  </w:footnote>
  <w:footnote w:id="7">
    <w:p w:rsidR="00C373AC" w:rsidRDefault="00C373AC" w:rsidP="004A3F7F">
      <w:pPr>
        <w:pStyle w:val="FootnoteText"/>
      </w:pPr>
      <w:r>
        <w:rPr>
          <w:rStyle w:val="FootnoteReference"/>
        </w:rPr>
        <w:footnoteRef/>
      </w:r>
      <w:r>
        <w:t xml:space="preserve"> Statistics vary on this number, the highest was 60 per cent: Jaime Antonio Jr, </w:t>
      </w:r>
      <w:r w:rsidRPr="00396D5C">
        <w:rPr>
          <w:i/>
        </w:rPr>
        <w:t>Republic of the Philippines Gender and Development Mainstreaming Country Gender Assessment 2012</w:t>
      </w:r>
      <w:r>
        <w:t>, Philippines' March 2014 the International Bank for Reconstruction and Development/The World Bank, East Asia and Pacific.</w:t>
      </w:r>
    </w:p>
  </w:footnote>
  <w:footnote w:id="8">
    <w:p w:rsidR="00C373AC" w:rsidRDefault="00C373AC" w:rsidP="004A3F7F">
      <w:pPr>
        <w:pStyle w:val="FootnoteText"/>
      </w:pPr>
      <w:r>
        <w:rPr>
          <w:rStyle w:val="FootnoteReference"/>
        </w:rPr>
        <w:footnoteRef/>
      </w:r>
      <w:r>
        <w:t xml:space="preserve"> The World Bank Urban Population Indicator, accessed 22 January &lt;</w:t>
      </w:r>
      <w:r w:rsidRPr="008D0015">
        <w:t>https://data.worldbank.org/indicator/SP.URB.TOTL.IN.ZS</w:t>
      </w:r>
      <w:r>
        <w:t xml:space="preserve">&gt;; above n </w:t>
      </w:r>
      <w:r>
        <w:fldChar w:fldCharType="begin"/>
      </w:r>
      <w:r>
        <w:instrText xml:space="preserve"> NOTEREF _Ref504460633 \h </w:instrText>
      </w:r>
      <w:r>
        <w:fldChar w:fldCharType="separate"/>
      </w:r>
      <w:r>
        <w:t>1</w:t>
      </w:r>
      <w:r>
        <w:fldChar w:fldCharType="end"/>
      </w:r>
      <w:r>
        <w:t>, p 5.</w:t>
      </w:r>
    </w:p>
  </w:footnote>
  <w:footnote w:id="9">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_Ref504404582 \h </w:instrText>
      </w:r>
      <w:r>
        <w:fldChar w:fldCharType="separate"/>
      </w:r>
      <w:r>
        <w:t>4</w:t>
      </w:r>
      <w:r>
        <w:fldChar w:fldCharType="end"/>
      </w:r>
      <w:r>
        <w:t>.</w:t>
      </w:r>
      <w:proofErr w:type="gramEnd"/>
    </w:p>
  </w:footnote>
  <w:footnote w:id="10">
    <w:p w:rsidR="00C373AC" w:rsidRDefault="00C373AC" w:rsidP="004A3F7F">
      <w:pPr>
        <w:pStyle w:val="FootnoteText"/>
      </w:pPr>
      <w:r>
        <w:rPr>
          <w:rStyle w:val="FootnoteReference"/>
        </w:rPr>
        <w:footnoteRef/>
      </w:r>
      <w:r>
        <w:t xml:space="preserve"> </w:t>
      </w:r>
      <w:proofErr w:type="gramStart"/>
      <w:r>
        <w:t>Ibid.</w:t>
      </w:r>
      <w:proofErr w:type="gramEnd"/>
      <w:r>
        <w:t xml:space="preserve"> </w:t>
      </w:r>
    </w:p>
  </w:footnote>
  <w:footnote w:id="11">
    <w:p w:rsidR="00C373AC" w:rsidRDefault="00C373AC" w:rsidP="004A3F7F">
      <w:pPr>
        <w:pStyle w:val="FootnoteText"/>
      </w:pPr>
      <w:r>
        <w:rPr>
          <w:rStyle w:val="FootnoteReference"/>
        </w:rPr>
        <w:footnoteRef/>
      </w:r>
      <w:r>
        <w:t xml:space="preserve"> Note that the 'City of Manila' is different as it is just one of the 16 'cities' that comprise Metro Manila. </w:t>
      </w:r>
    </w:p>
  </w:footnote>
  <w:footnote w:id="12">
    <w:p w:rsidR="00C373AC" w:rsidRDefault="00C373AC" w:rsidP="00910856">
      <w:pPr>
        <w:pStyle w:val="FootnoteText"/>
      </w:pPr>
      <w:r>
        <w:rPr>
          <w:rStyle w:val="FootnoteReference"/>
        </w:rPr>
        <w:footnoteRef/>
      </w:r>
      <w:r>
        <w:t xml:space="preserve"> </w:t>
      </w:r>
      <w:proofErr w:type="gramStart"/>
      <w:r>
        <w:t xml:space="preserve">Above n </w:t>
      </w:r>
      <w:r>
        <w:fldChar w:fldCharType="begin"/>
      </w:r>
      <w:r>
        <w:instrText xml:space="preserve"> NOTEREF _Ref504404582 \h </w:instrText>
      </w:r>
      <w:r>
        <w:fldChar w:fldCharType="separate"/>
      </w:r>
      <w:r>
        <w:t>4</w:t>
      </w:r>
      <w:r>
        <w:fldChar w:fldCharType="end"/>
      </w:r>
      <w:r>
        <w:t>.</w:t>
      </w:r>
      <w:proofErr w:type="gramEnd"/>
    </w:p>
  </w:footnote>
  <w:footnote w:id="13">
    <w:p w:rsidR="00C373AC" w:rsidRPr="007D6111" w:rsidRDefault="00C373AC" w:rsidP="004A3F7F">
      <w:pPr>
        <w:pStyle w:val="FootnoteText"/>
      </w:pPr>
      <w:r>
        <w:rPr>
          <w:rStyle w:val="FootnoteReference"/>
        </w:rPr>
        <w:footnoteRef/>
      </w:r>
      <w:r>
        <w:t xml:space="preserve"> See </w:t>
      </w:r>
      <w:r>
        <w:rPr>
          <w:i/>
        </w:rPr>
        <w:t>Constitution</w:t>
      </w:r>
      <w:r w:rsidRPr="002B7743">
        <w:t>,</w:t>
      </w:r>
      <w:r>
        <w:t xml:space="preserve"> Section 7, Article XIV.</w:t>
      </w:r>
    </w:p>
  </w:footnote>
  <w:footnote w:id="14">
    <w:p w:rsidR="00C373AC" w:rsidRDefault="00C373AC" w:rsidP="004A3F7F">
      <w:pPr>
        <w:pStyle w:val="FootnoteText"/>
      </w:pPr>
      <w:r>
        <w:rPr>
          <w:rStyle w:val="FootnoteReference"/>
        </w:rPr>
        <w:footnoteRef/>
      </w:r>
      <w:r>
        <w:t xml:space="preserve"> </w:t>
      </w:r>
      <w:proofErr w:type="spellStart"/>
      <w:r>
        <w:t>UNHabitat</w:t>
      </w:r>
      <w:proofErr w:type="spellEnd"/>
      <w:r>
        <w:t xml:space="preserve">, </w:t>
      </w:r>
      <w:r w:rsidRPr="00396D5C">
        <w:rPr>
          <w:i/>
        </w:rPr>
        <w:t>Country Programme Document 2008-2009 Philippines</w:t>
      </w:r>
      <w:r>
        <w:t xml:space="preserve">, United Nations Human Settlements Programme, p 9. </w:t>
      </w:r>
    </w:p>
  </w:footnote>
  <w:footnote w:id="15">
    <w:p w:rsidR="00C373AC" w:rsidRPr="00785F39" w:rsidRDefault="00C373AC" w:rsidP="004A3F7F">
      <w:pPr>
        <w:pStyle w:val="FootnoteText"/>
        <w:rPr>
          <w:lang w:val="en-US"/>
        </w:rPr>
      </w:pPr>
      <w:r>
        <w:rPr>
          <w:rStyle w:val="FootnoteReference"/>
        </w:rPr>
        <w:footnoteRef/>
      </w:r>
      <w:r>
        <w:t xml:space="preserve"> </w:t>
      </w:r>
      <w:r>
        <w:rPr>
          <w:lang w:val="en-US"/>
        </w:rPr>
        <w:t xml:space="preserve">Alberto Vargas, </w:t>
      </w:r>
      <w:r w:rsidRPr="00396D5C">
        <w:rPr>
          <w:i/>
          <w:lang w:val="en-US"/>
        </w:rPr>
        <w:t>The Philippines Country Brief: Property Rights and Land Markets</w:t>
      </w:r>
      <w:r>
        <w:rPr>
          <w:lang w:val="en-US"/>
        </w:rPr>
        <w:t xml:space="preserve"> (March 2010) Country Brief Land Tenure Centre, University of Wisconsin-Madison, </w:t>
      </w:r>
      <w:r>
        <w:t>p 3 &lt;</w:t>
      </w:r>
      <w:r w:rsidRPr="008D0015">
        <w:t>https://nelson.wisc.edu/ltc/docs/philippinesbrief.pdf</w:t>
      </w:r>
      <w:r>
        <w:t>&gt;.</w:t>
      </w:r>
    </w:p>
  </w:footnote>
  <w:footnote w:id="16">
    <w:p w:rsidR="00C373AC" w:rsidRPr="002A0CFF" w:rsidRDefault="00C373AC" w:rsidP="004A3F7F">
      <w:pPr>
        <w:pStyle w:val="FootnoteText"/>
        <w:rPr>
          <w:lang w:val="en-US"/>
        </w:rPr>
      </w:pPr>
      <w:r>
        <w:rPr>
          <w:rStyle w:val="FootnoteReference"/>
        </w:rPr>
        <w:footnoteRef/>
      </w:r>
      <w:r>
        <w:t xml:space="preserve"> </w:t>
      </w:r>
      <w:proofErr w:type="gramStart"/>
      <w:r>
        <w:rPr>
          <w:lang w:val="en-US"/>
        </w:rPr>
        <w:t>Ibid</w:t>
      </w:r>
      <w:r>
        <w:t xml:space="preserve"> p 4.</w:t>
      </w:r>
      <w:proofErr w:type="gramEnd"/>
    </w:p>
  </w:footnote>
  <w:footnote w:id="17">
    <w:p w:rsidR="00C373AC" w:rsidRPr="007C740D" w:rsidRDefault="00C373AC" w:rsidP="004A3F7F">
      <w:pPr>
        <w:pStyle w:val="FootnoteText"/>
        <w:rPr>
          <w:lang w:val="en-US"/>
        </w:rPr>
      </w:pPr>
      <w:r>
        <w:rPr>
          <w:rStyle w:val="FootnoteReference"/>
        </w:rPr>
        <w:footnoteRef/>
      </w:r>
      <w:r>
        <w:t xml:space="preserve"> Ibid.</w:t>
      </w:r>
    </w:p>
  </w:footnote>
  <w:footnote w:id="18">
    <w:p w:rsidR="00C373AC" w:rsidRPr="007C740D" w:rsidRDefault="00C373AC" w:rsidP="004A3F7F">
      <w:pPr>
        <w:pStyle w:val="FootnoteText"/>
        <w:rPr>
          <w:lang w:val="en-US"/>
        </w:rPr>
      </w:pPr>
      <w:r>
        <w:rPr>
          <w:rStyle w:val="FootnoteReference"/>
        </w:rPr>
        <w:footnoteRef/>
      </w:r>
      <w:r>
        <w:t xml:space="preserve"> </w:t>
      </w:r>
      <w:proofErr w:type="gramStart"/>
      <w:r>
        <w:t>Ibid p 5.</w:t>
      </w:r>
      <w:proofErr w:type="gramEnd"/>
    </w:p>
  </w:footnote>
  <w:footnote w:id="19">
    <w:p w:rsidR="00C373AC" w:rsidRPr="009A2A5E" w:rsidRDefault="00C373AC" w:rsidP="004A3F7F">
      <w:pPr>
        <w:pStyle w:val="FootnoteText"/>
        <w:rPr>
          <w:lang w:val="en-US"/>
        </w:rPr>
      </w:pPr>
      <w:r>
        <w:rPr>
          <w:rStyle w:val="FootnoteReference"/>
        </w:rPr>
        <w:footnoteRef/>
      </w:r>
      <w:r>
        <w:t xml:space="preserve"> </w:t>
      </w:r>
      <w:proofErr w:type="gramStart"/>
      <w:r w:rsidRPr="009A2A5E">
        <w:t xml:space="preserve">Freedom House, </w:t>
      </w:r>
      <w:r w:rsidRPr="00396D5C">
        <w:rPr>
          <w:i/>
        </w:rPr>
        <w:t xml:space="preserve">Countries at the Crossroads 2007 – Philippines </w:t>
      </w:r>
      <w:r>
        <w:t>(25 September 2007), accessed 22 January 2018 &lt;</w:t>
      </w:r>
      <w:r w:rsidRPr="008D0015">
        <w:t>http://www.refworld.org/docid/4738692964.html</w:t>
      </w:r>
      <w:r>
        <w:t>&gt;.</w:t>
      </w:r>
      <w:proofErr w:type="gramEnd"/>
    </w:p>
  </w:footnote>
  <w:footnote w:id="20">
    <w:p w:rsidR="00C373AC" w:rsidRPr="0046300D" w:rsidRDefault="00C373AC" w:rsidP="004A3F7F">
      <w:pPr>
        <w:pStyle w:val="FootnoteText"/>
        <w:rPr>
          <w:lang w:val="en-US"/>
        </w:rPr>
      </w:pPr>
      <w:r>
        <w:rPr>
          <w:rStyle w:val="FootnoteReference"/>
        </w:rPr>
        <w:footnoteRef/>
      </w:r>
      <w:r>
        <w:t xml:space="preserve"> </w:t>
      </w:r>
      <w:proofErr w:type="spellStart"/>
      <w:r>
        <w:rPr>
          <w:lang w:val="en-US"/>
        </w:rPr>
        <w:t>Floradema</w:t>
      </w:r>
      <w:proofErr w:type="spellEnd"/>
      <w:r>
        <w:rPr>
          <w:lang w:val="en-US"/>
        </w:rPr>
        <w:t xml:space="preserve"> C </w:t>
      </w:r>
      <w:proofErr w:type="spellStart"/>
      <w:r>
        <w:rPr>
          <w:lang w:val="en-US"/>
        </w:rPr>
        <w:t>Eleazar</w:t>
      </w:r>
      <w:proofErr w:type="spellEnd"/>
      <w:r>
        <w:rPr>
          <w:lang w:val="en-US"/>
        </w:rPr>
        <w:t xml:space="preserve">, Brian </w:t>
      </w:r>
      <w:proofErr w:type="spellStart"/>
      <w:r>
        <w:rPr>
          <w:lang w:val="en-US"/>
        </w:rPr>
        <w:t>Carcia</w:t>
      </w:r>
      <w:proofErr w:type="spellEnd"/>
      <w:r>
        <w:rPr>
          <w:lang w:val="en-US"/>
        </w:rPr>
        <w:t xml:space="preserve">, Ernie </w:t>
      </w:r>
      <w:proofErr w:type="spellStart"/>
      <w:r>
        <w:rPr>
          <w:lang w:val="en-US"/>
        </w:rPr>
        <w:t>Guiang</w:t>
      </w:r>
      <w:proofErr w:type="spellEnd"/>
      <w:r>
        <w:rPr>
          <w:lang w:val="en-US"/>
        </w:rPr>
        <w:t xml:space="preserve">, </w:t>
      </w:r>
      <w:proofErr w:type="spellStart"/>
      <w:r>
        <w:rPr>
          <w:lang w:val="en-US"/>
        </w:rPr>
        <w:t>Annabbelle</w:t>
      </w:r>
      <w:proofErr w:type="spellEnd"/>
      <w:r>
        <w:rPr>
          <w:lang w:val="en-US"/>
        </w:rPr>
        <w:t xml:space="preserve"> Herrera, Linda D </w:t>
      </w:r>
      <w:proofErr w:type="spellStart"/>
      <w:r>
        <w:rPr>
          <w:lang w:val="en-US"/>
        </w:rPr>
        <w:t>Isorena</w:t>
      </w:r>
      <w:proofErr w:type="spellEnd"/>
      <w:r>
        <w:rPr>
          <w:lang w:val="en-US"/>
        </w:rPr>
        <w:t xml:space="preserve">, </w:t>
      </w:r>
      <w:proofErr w:type="spellStart"/>
      <w:r>
        <w:rPr>
          <w:lang w:val="en-US"/>
        </w:rPr>
        <w:t>Roel</w:t>
      </w:r>
      <w:proofErr w:type="spellEnd"/>
      <w:r>
        <w:rPr>
          <w:lang w:val="en-US"/>
        </w:rPr>
        <w:t xml:space="preserve"> </w:t>
      </w:r>
      <w:proofErr w:type="spellStart"/>
      <w:r>
        <w:rPr>
          <w:lang w:val="en-US"/>
        </w:rPr>
        <w:t>Ravanera</w:t>
      </w:r>
      <w:proofErr w:type="spellEnd"/>
      <w:r>
        <w:rPr>
          <w:lang w:val="en-US"/>
        </w:rPr>
        <w:t xml:space="preserve"> and Ernesto </w:t>
      </w:r>
      <w:proofErr w:type="spellStart"/>
      <w:r>
        <w:rPr>
          <w:lang w:val="en-US"/>
        </w:rPr>
        <w:t>Serote</w:t>
      </w:r>
      <w:proofErr w:type="spellEnd"/>
      <w:r>
        <w:rPr>
          <w:lang w:val="en-US"/>
        </w:rPr>
        <w:t xml:space="preserve">, </w:t>
      </w:r>
      <w:r w:rsidRPr="001F77AB">
        <w:rPr>
          <w:i/>
          <w:lang w:val="en-US"/>
        </w:rPr>
        <w:t>Improving Land Sector Governance in the Philippines – Implementation of Land Governance Assessment Framework (LGAF)</w:t>
      </w:r>
      <w:r>
        <w:rPr>
          <w:lang w:val="en-US"/>
        </w:rPr>
        <w:t xml:space="preserve"> (August 2013) p </w:t>
      </w:r>
      <w:r>
        <w:t>35.</w:t>
      </w:r>
    </w:p>
  </w:footnote>
  <w:footnote w:id="21">
    <w:p w:rsidR="00C373AC" w:rsidRPr="00AC0D3C" w:rsidRDefault="00C373AC" w:rsidP="00D968EE">
      <w:pPr>
        <w:pStyle w:val="FootnoteText"/>
        <w:rPr>
          <w:lang w:val="en-US"/>
        </w:rPr>
      </w:pPr>
      <w:r>
        <w:rPr>
          <w:rStyle w:val="FootnoteReference"/>
        </w:rPr>
        <w:footnoteRef/>
      </w:r>
      <w:r>
        <w:t xml:space="preserve"> Antonio B </w:t>
      </w:r>
      <w:proofErr w:type="spellStart"/>
      <w:r>
        <w:t>Quizon</w:t>
      </w:r>
      <w:proofErr w:type="spellEnd"/>
      <w:r>
        <w:t xml:space="preserve"> and Jose Ignatius </w:t>
      </w:r>
      <w:proofErr w:type="spellStart"/>
      <w:r>
        <w:t>Pagsanghan</w:t>
      </w:r>
      <w:proofErr w:type="spellEnd"/>
      <w:r>
        <w:t xml:space="preserve">, </w:t>
      </w:r>
      <w:r w:rsidRPr="001F77AB">
        <w:rPr>
          <w:i/>
        </w:rPr>
        <w:t>Review of Selected Land Laws and the Governance of Tenure in the Philippines: Discussion Paper in the Context of the Voluntary Guidelines on</w:t>
      </w:r>
      <w:r>
        <w:rPr>
          <w:i/>
        </w:rPr>
        <w:t xml:space="preserve"> the Governance of Tenure (VGGT</w:t>
      </w:r>
      <w:r w:rsidRPr="001F77AB">
        <w:rPr>
          <w:i/>
        </w:rPr>
        <w:t>)</w:t>
      </w:r>
      <w:r>
        <w:t xml:space="preserve">, (Deutsche </w:t>
      </w:r>
      <w:proofErr w:type="spellStart"/>
      <w:r>
        <w:t>Gesellschaft</w:t>
      </w:r>
      <w:proofErr w:type="spellEnd"/>
      <w:r>
        <w:t xml:space="preserve"> </w:t>
      </w:r>
      <w:proofErr w:type="spellStart"/>
      <w:r>
        <w:t>f</w:t>
      </w:r>
      <w:r w:rsidRPr="003C3D8F">
        <w:rPr>
          <w:rFonts w:eastAsiaTheme="minorHAnsi"/>
        </w:rPr>
        <w:t>ü</w:t>
      </w:r>
      <w:r>
        <w:t>r</w:t>
      </w:r>
      <w:proofErr w:type="spellEnd"/>
      <w:r>
        <w:t xml:space="preserve"> Internationale </w:t>
      </w:r>
      <w:proofErr w:type="spellStart"/>
      <w:r>
        <w:t>Zusammenarbeit</w:t>
      </w:r>
      <w:proofErr w:type="spellEnd"/>
      <w:r>
        <w:t xml:space="preserve"> (GIZ) / Asian NGO Coalition for Agrarian Reform and Rural Development, Philippines Development Forum, 2014), pp 25, 62.</w:t>
      </w:r>
    </w:p>
  </w:footnote>
  <w:footnote w:id="22">
    <w:p w:rsidR="00C373AC" w:rsidRPr="00AC4AAD" w:rsidRDefault="00C373AC" w:rsidP="004A3F7F">
      <w:pPr>
        <w:pStyle w:val="FootnoteText"/>
        <w:rPr>
          <w:lang w:val="en-US"/>
        </w:rPr>
      </w:pPr>
      <w:r>
        <w:rPr>
          <w:rStyle w:val="FootnoteReference"/>
        </w:rPr>
        <w:footnoteRef/>
      </w:r>
      <w:r>
        <w:t xml:space="preserve"> </w:t>
      </w:r>
      <w:r w:rsidRPr="00332037">
        <w:rPr>
          <w:lang w:val="en-US"/>
        </w:rPr>
        <w:t>Daniel</w:t>
      </w:r>
      <w:r>
        <w:rPr>
          <w:lang w:val="en-US"/>
        </w:rPr>
        <w:t xml:space="preserve"> Fitzpatrick and Caroline Compton, </w:t>
      </w:r>
      <w:r w:rsidRPr="001F77AB">
        <w:rPr>
          <w:i/>
          <w:lang w:val="en-US"/>
        </w:rPr>
        <w:t>Beyond Safe Land: Why Security of Land Tenure is Crucial for the Philippines' Post-Haiyan Recovery</w:t>
      </w:r>
      <w:r>
        <w:rPr>
          <w:lang w:val="en-US"/>
        </w:rPr>
        <w:t xml:space="preserve"> (August 2014) </w:t>
      </w:r>
      <w:r w:rsidRPr="00332037">
        <w:rPr>
          <w:lang w:val="en-US"/>
        </w:rPr>
        <w:t>Join</w:t>
      </w:r>
      <w:r>
        <w:rPr>
          <w:lang w:val="en-US"/>
        </w:rPr>
        <w:t>t Agency Briefing Paper, Oxfam, p 15</w:t>
      </w:r>
      <w:r>
        <w:t>.</w:t>
      </w:r>
    </w:p>
  </w:footnote>
  <w:footnote w:id="23">
    <w:p w:rsidR="00C373AC" w:rsidRPr="00940F26" w:rsidRDefault="00C373AC" w:rsidP="004A3F7F">
      <w:pPr>
        <w:pStyle w:val="FootnoteText"/>
        <w:rPr>
          <w:lang w:val="en-US"/>
        </w:rPr>
      </w:pPr>
      <w:r>
        <w:rPr>
          <w:rStyle w:val="FootnoteReference"/>
        </w:rPr>
        <w:footnoteRef/>
      </w:r>
      <w:r>
        <w:t xml:space="preserve"> </w:t>
      </w:r>
      <w:proofErr w:type="gramStart"/>
      <w:r>
        <w:rPr>
          <w:lang w:val="en-US"/>
        </w:rPr>
        <w:t>Section 6 of the CA 141.</w:t>
      </w:r>
      <w:proofErr w:type="gramEnd"/>
    </w:p>
  </w:footnote>
  <w:footnote w:id="24">
    <w:p w:rsidR="00C373AC" w:rsidRPr="00AC4AAD" w:rsidRDefault="00C373AC" w:rsidP="004A3F7F">
      <w:pPr>
        <w:pStyle w:val="FootnoteText"/>
        <w:rPr>
          <w:lang w:val="en-US"/>
        </w:rPr>
      </w:pPr>
      <w:r>
        <w:rPr>
          <w:rStyle w:val="FootnoteReference"/>
        </w:rPr>
        <w:footnoteRef/>
      </w:r>
      <w:r>
        <w:t xml:space="preserve"> </w:t>
      </w:r>
      <w:proofErr w:type="gramStart"/>
      <w:r>
        <w:t xml:space="preserve">Above n </w:t>
      </w:r>
      <w:r>
        <w:fldChar w:fldCharType="begin"/>
      </w:r>
      <w:r>
        <w:instrText xml:space="preserve"> NOTEREF _Ref490636527 \h </w:instrText>
      </w:r>
      <w:r>
        <w:fldChar w:fldCharType="separate"/>
      </w:r>
      <w:r>
        <w:t>20</w:t>
      </w:r>
      <w:r>
        <w:fldChar w:fldCharType="end"/>
      </w:r>
      <w:r>
        <w:t>, p 16.</w:t>
      </w:r>
      <w:proofErr w:type="gramEnd"/>
      <w:r>
        <w:t xml:space="preserve"> </w:t>
      </w:r>
    </w:p>
  </w:footnote>
  <w:footnote w:id="25">
    <w:p w:rsidR="00C373AC" w:rsidRPr="00F26925" w:rsidRDefault="00C373AC" w:rsidP="004A3F7F">
      <w:pPr>
        <w:pStyle w:val="FootnoteText"/>
        <w:rPr>
          <w:lang w:val="en-US"/>
        </w:rPr>
      </w:pPr>
      <w:r>
        <w:rPr>
          <w:rStyle w:val="FootnoteReference"/>
        </w:rPr>
        <w:footnoteRef/>
      </w:r>
      <w:r>
        <w:t xml:space="preserve"> </w:t>
      </w:r>
      <w:proofErr w:type="gramStart"/>
      <w:r>
        <w:t xml:space="preserve">Above n </w:t>
      </w:r>
      <w:r>
        <w:fldChar w:fldCharType="begin"/>
      </w:r>
      <w:r>
        <w:instrText xml:space="preserve"> NOTEREF _Ref490636561 \h </w:instrText>
      </w:r>
      <w:r>
        <w:fldChar w:fldCharType="separate"/>
      </w:r>
      <w:r>
        <w:t>21</w:t>
      </w:r>
      <w:r>
        <w:fldChar w:fldCharType="end"/>
      </w:r>
      <w:r>
        <w:t>, p 22.</w:t>
      </w:r>
      <w:proofErr w:type="gramEnd"/>
      <w:r>
        <w:t xml:space="preserve"> </w:t>
      </w:r>
    </w:p>
  </w:footnote>
  <w:footnote w:id="26">
    <w:p w:rsidR="00C373AC" w:rsidRDefault="00C373AC" w:rsidP="004A3F7F">
      <w:pPr>
        <w:pStyle w:val="FootnoteText"/>
      </w:pPr>
      <w:r>
        <w:rPr>
          <w:rStyle w:val="FootnoteReference"/>
        </w:rPr>
        <w:footnoteRef/>
      </w:r>
      <w:r>
        <w:t xml:space="preserve"> </w:t>
      </w:r>
      <w:proofErr w:type="gramStart"/>
      <w:r>
        <w:t>Ibid p 25.</w:t>
      </w:r>
      <w:proofErr w:type="gramEnd"/>
    </w:p>
  </w:footnote>
  <w:footnote w:id="27">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_Ref490636561 \h </w:instrText>
      </w:r>
      <w:r>
        <w:fldChar w:fldCharType="separate"/>
      </w:r>
      <w:r>
        <w:t>21</w:t>
      </w:r>
      <w:r>
        <w:fldChar w:fldCharType="end"/>
      </w:r>
      <w:r>
        <w:t>, p 6.</w:t>
      </w:r>
      <w:proofErr w:type="gramEnd"/>
      <w:r>
        <w:t xml:space="preserve"> </w:t>
      </w:r>
    </w:p>
  </w:footnote>
  <w:footnote w:id="28">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PAGEREF _Ref490637042 \h </w:instrText>
      </w:r>
      <w:r>
        <w:fldChar w:fldCharType="separate"/>
      </w:r>
      <w:r>
        <w:rPr>
          <w:noProof/>
        </w:rPr>
        <w:t>6</w:t>
      </w:r>
      <w:r>
        <w:fldChar w:fldCharType="end"/>
      </w:r>
      <w:r>
        <w:t>,</w:t>
      </w:r>
      <w:r w:rsidRPr="00332037">
        <w:t xml:space="preserve"> </w:t>
      </w:r>
      <w:r>
        <w:t>p 26.</w:t>
      </w:r>
      <w:proofErr w:type="gramEnd"/>
    </w:p>
  </w:footnote>
  <w:footnote w:id="29">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_Ref490636527 \h </w:instrText>
      </w:r>
      <w:r>
        <w:fldChar w:fldCharType="separate"/>
      </w:r>
      <w:r>
        <w:t>20</w:t>
      </w:r>
      <w:r>
        <w:fldChar w:fldCharType="end"/>
      </w:r>
      <w:r>
        <w:t>, p 92.</w:t>
      </w:r>
      <w:proofErr w:type="gramEnd"/>
      <w:r>
        <w:t xml:space="preserve"> </w:t>
      </w:r>
    </w:p>
  </w:footnote>
  <w:footnote w:id="30">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_Ref490636561 \h </w:instrText>
      </w:r>
      <w:r>
        <w:fldChar w:fldCharType="separate"/>
      </w:r>
      <w:r>
        <w:t>21</w:t>
      </w:r>
      <w:r>
        <w:fldChar w:fldCharType="end"/>
      </w:r>
      <w:r>
        <w:t>, p 20.</w:t>
      </w:r>
      <w:proofErr w:type="gramEnd"/>
    </w:p>
  </w:footnote>
  <w:footnote w:id="31">
    <w:p w:rsidR="00C373AC" w:rsidRDefault="00C373AC">
      <w:pPr>
        <w:pStyle w:val="FootnoteText"/>
      </w:pPr>
      <w:r>
        <w:rPr>
          <w:rStyle w:val="FootnoteReference"/>
        </w:rPr>
        <w:footnoteRef/>
      </w:r>
      <w:r>
        <w:t xml:space="preserve"> Jason Christopher </w:t>
      </w:r>
      <w:proofErr w:type="spellStart"/>
      <w:r>
        <w:t>Rayos</w:t>
      </w:r>
      <w:proofErr w:type="spellEnd"/>
      <w:r>
        <w:t xml:space="preserve"> Co, </w:t>
      </w:r>
      <w:r w:rsidRPr="001F77AB">
        <w:rPr>
          <w:i/>
        </w:rPr>
        <w:t>Community-driven disaster intervention: Experiences of the Homeless People's Federation Philippines, Incorporated (HPFPI)</w:t>
      </w:r>
      <w:r w:rsidRPr="00332037">
        <w:t xml:space="preserve"> (September 2012) Human Settlements Working Paper Series</w:t>
      </w:r>
      <w:r>
        <w:t>, Climate Change and Cities, p 25.</w:t>
      </w:r>
    </w:p>
  </w:footnote>
  <w:footnote w:id="32">
    <w:p w:rsidR="00C373AC" w:rsidRDefault="00C373AC" w:rsidP="00A10F82">
      <w:pPr>
        <w:pStyle w:val="FootnoteText"/>
      </w:pPr>
      <w:r>
        <w:rPr>
          <w:rStyle w:val="FootnoteReference"/>
        </w:rPr>
        <w:footnoteRef/>
      </w:r>
      <w:r>
        <w:t xml:space="preserve"> </w:t>
      </w:r>
      <w:proofErr w:type="gramStart"/>
      <w:r>
        <w:t xml:space="preserve">Above n </w:t>
      </w:r>
      <w:r>
        <w:fldChar w:fldCharType="begin"/>
      </w:r>
      <w:r>
        <w:instrText xml:space="preserve"> NOTEREF _Ref490636527 \h </w:instrText>
      </w:r>
      <w:r>
        <w:fldChar w:fldCharType="separate"/>
      </w:r>
      <w:r>
        <w:t>20</w:t>
      </w:r>
      <w:r>
        <w:fldChar w:fldCharType="end"/>
      </w:r>
      <w:r>
        <w:rPr>
          <w:lang w:val="en-US"/>
        </w:rPr>
        <w:t>, p</w:t>
      </w:r>
      <w:r>
        <w:t xml:space="preserve"> 43.</w:t>
      </w:r>
      <w:proofErr w:type="gramEnd"/>
    </w:p>
  </w:footnote>
  <w:footnote w:id="33">
    <w:p w:rsidR="00C373AC" w:rsidRDefault="00C373AC" w:rsidP="004A3F7F">
      <w:pPr>
        <w:pStyle w:val="FootnoteText"/>
      </w:pPr>
      <w:r>
        <w:rPr>
          <w:rStyle w:val="FootnoteReference"/>
        </w:rPr>
        <w:footnoteRef/>
      </w:r>
      <w:r>
        <w:t xml:space="preserve"> Kristen Ewers Andersen, </w:t>
      </w:r>
      <w:r w:rsidRPr="001F77AB">
        <w:rPr>
          <w:i/>
        </w:rPr>
        <w:t>Communal Tenure and the Governance of Common Property Resources in Asia: Lessons from Ex</w:t>
      </w:r>
      <w:r>
        <w:rPr>
          <w:i/>
        </w:rPr>
        <w:t xml:space="preserve">periences in Selected Countries </w:t>
      </w:r>
      <w:r w:rsidRPr="00C14DFE">
        <w:t xml:space="preserve">(Land Tenure Working Paper 20, April 2011, Food and Agriculture Organization of the United Nations) </w:t>
      </w:r>
      <w:r>
        <w:t>p 7 &lt;</w:t>
      </w:r>
      <w:r w:rsidRPr="008D0015">
        <w:t>http://www.fao.org/docrep/014/am658e/am658e00.pdf</w:t>
      </w:r>
      <w:r>
        <w:t>&gt;.</w:t>
      </w:r>
    </w:p>
  </w:footnote>
  <w:footnote w:id="34">
    <w:p w:rsidR="00C373AC" w:rsidRDefault="00C373AC" w:rsidP="004A3F7F">
      <w:pPr>
        <w:pStyle w:val="FootnoteText"/>
      </w:pPr>
      <w:r>
        <w:rPr>
          <w:rStyle w:val="FootnoteReference"/>
        </w:rPr>
        <w:footnoteRef/>
      </w:r>
      <w:r>
        <w:t xml:space="preserve"> </w:t>
      </w:r>
      <w:proofErr w:type="gramStart"/>
      <w:r>
        <w:rPr>
          <w:lang w:val="en-US"/>
        </w:rPr>
        <w:t xml:space="preserve">Above n </w:t>
      </w:r>
      <w:r>
        <w:rPr>
          <w:lang w:val="en-US"/>
        </w:rPr>
        <w:fldChar w:fldCharType="begin"/>
      </w:r>
      <w:r>
        <w:rPr>
          <w:lang w:val="en-US"/>
        </w:rPr>
        <w:instrText xml:space="preserve"> NOTEREF _Ref490636527 \h </w:instrText>
      </w:r>
      <w:r>
        <w:rPr>
          <w:lang w:val="en-US"/>
        </w:rPr>
      </w:r>
      <w:r>
        <w:rPr>
          <w:lang w:val="en-US"/>
        </w:rPr>
        <w:fldChar w:fldCharType="separate"/>
      </w:r>
      <w:r>
        <w:rPr>
          <w:lang w:val="en-US"/>
        </w:rPr>
        <w:t>20</w:t>
      </w:r>
      <w:r>
        <w:rPr>
          <w:lang w:val="en-US"/>
        </w:rPr>
        <w:fldChar w:fldCharType="end"/>
      </w:r>
      <w:r>
        <w:rPr>
          <w:lang w:val="en-US"/>
        </w:rPr>
        <w:t>, p</w:t>
      </w:r>
      <w:r>
        <w:t xml:space="preserve"> 43.</w:t>
      </w:r>
      <w:proofErr w:type="gramEnd"/>
    </w:p>
  </w:footnote>
  <w:footnote w:id="35">
    <w:p w:rsidR="00C373AC" w:rsidRDefault="00C373AC" w:rsidP="004A3F7F">
      <w:pPr>
        <w:pStyle w:val="FootnoteText"/>
      </w:pPr>
      <w:r>
        <w:rPr>
          <w:rStyle w:val="FootnoteReference"/>
        </w:rPr>
        <w:footnoteRef/>
      </w:r>
      <w:r>
        <w:t xml:space="preserve"> </w:t>
      </w:r>
      <w:proofErr w:type="gramStart"/>
      <w:r>
        <w:t>Ibid</w:t>
      </w:r>
      <w:r>
        <w:rPr>
          <w:lang w:val="en-US"/>
        </w:rPr>
        <w:t xml:space="preserve"> p</w:t>
      </w:r>
      <w:r>
        <w:t xml:space="preserve"> 43.</w:t>
      </w:r>
      <w:proofErr w:type="gramEnd"/>
    </w:p>
  </w:footnote>
  <w:footnote w:id="36">
    <w:p w:rsidR="00C373AC" w:rsidRDefault="00C373AC" w:rsidP="004A3F7F">
      <w:pPr>
        <w:pStyle w:val="FootnoteText"/>
      </w:pPr>
      <w:r>
        <w:rPr>
          <w:rStyle w:val="FootnoteReference"/>
        </w:rPr>
        <w:footnoteRef/>
      </w:r>
      <w:r>
        <w:t xml:space="preserve"> </w:t>
      </w:r>
      <w:proofErr w:type="gramStart"/>
      <w:r>
        <w:t xml:space="preserve">Ibid </w:t>
      </w:r>
      <w:r>
        <w:rPr>
          <w:lang w:val="en-US"/>
        </w:rPr>
        <w:t>p</w:t>
      </w:r>
      <w:r>
        <w:t xml:space="preserve"> 43.</w:t>
      </w:r>
      <w:proofErr w:type="gramEnd"/>
    </w:p>
  </w:footnote>
  <w:footnote w:id="37">
    <w:p w:rsidR="00C373AC" w:rsidRDefault="00C373AC">
      <w:pPr>
        <w:pStyle w:val="FootnoteText"/>
      </w:pPr>
      <w:r>
        <w:rPr>
          <w:rStyle w:val="FootnoteReference"/>
        </w:rPr>
        <w:footnoteRef/>
      </w:r>
      <w:r>
        <w:t xml:space="preserve"> </w:t>
      </w:r>
      <w:proofErr w:type="gramStart"/>
      <w:r>
        <w:t xml:space="preserve">Ibid </w:t>
      </w:r>
      <w:r>
        <w:rPr>
          <w:lang w:val="en-US"/>
        </w:rPr>
        <w:t>p</w:t>
      </w:r>
      <w:r>
        <w:t xml:space="preserve"> 51.</w:t>
      </w:r>
      <w:proofErr w:type="gramEnd"/>
    </w:p>
  </w:footnote>
  <w:footnote w:id="38">
    <w:p w:rsidR="00C373AC" w:rsidRDefault="00C373AC">
      <w:pPr>
        <w:pStyle w:val="FootnoteText"/>
      </w:pPr>
      <w:r>
        <w:rPr>
          <w:rStyle w:val="FootnoteReference"/>
        </w:rPr>
        <w:footnoteRef/>
      </w:r>
      <w:r>
        <w:t xml:space="preserve"> </w:t>
      </w:r>
      <w:proofErr w:type="gramStart"/>
      <w:r>
        <w:rPr>
          <w:lang w:val="en-US"/>
        </w:rPr>
        <w:t>Ibid p</w:t>
      </w:r>
      <w:r>
        <w:t xml:space="preserve"> 51.</w:t>
      </w:r>
      <w:proofErr w:type="gramEnd"/>
    </w:p>
  </w:footnote>
  <w:footnote w:id="39">
    <w:p w:rsidR="00C373AC" w:rsidRDefault="00C373AC" w:rsidP="004A3F7F">
      <w:pPr>
        <w:pStyle w:val="FootnoteText"/>
      </w:pPr>
      <w:r>
        <w:rPr>
          <w:rStyle w:val="FootnoteReference"/>
        </w:rPr>
        <w:footnoteRef/>
      </w:r>
      <w:r>
        <w:t xml:space="preserve"> </w:t>
      </w:r>
      <w:proofErr w:type="gramStart"/>
      <w:r>
        <w:t xml:space="preserve">Grace C Ramos, </w:t>
      </w:r>
      <w:r w:rsidRPr="001F77AB">
        <w:rPr>
          <w:i/>
        </w:rPr>
        <w:t>The Urban Development and Housing Act (ADHA) of 1992 – A Philippine Housing Framework</w:t>
      </w:r>
      <w:r>
        <w:t xml:space="preserve"> (2000) p 12 &lt;</w:t>
      </w:r>
      <w:r w:rsidRPr="008D0015">
        <w:t>http://www.lth.se/fileadmin/hdm/alumni/papers/ad2000/ad2000-12.pdf</w:t>
      </w:r>
      <w:r>
        <w:t>&gt;.</w:t>
      </w:r>
      <w:proofErr w:type="gramEnd"/>
    </w:p>
  </w:footnote>
  <w:footnote w:id="40">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_Ref490636527 \h </w:instrText>
      </w:r>
      <w:r>
        <w:fldChar w:fldCharType="separate"/>
      </w:r>
      <w:r>
        <w:t>20</w:t>
      </w:r>
      <w:r>
        <w:fldChar w:fldCharType="end"/>
      </w:r>
      <w:r>
        <w:rPr>
          <w:lang w:val="en-US"/>
        </w:rPr>
        <w:t>, p</w:t>
      </w:r>
      <w:r>
        <w:t xml:space="preserve"> 51.</w:t>
      </w:r>
      <w:proofErr w:type="gramEnd"/>
    </w:p>
  </w:footnote>
  <w:footnote w:id="41">
    <w:p w:rsidR="00C373AC" w:rsidRDefault="00C373AC" w:rsidP="004A3F7F">
      <w:pPr>
        <w:pStyle w:val="FootnoteText"/>
      </w:pPr>
      <w:r>
        <w:rPr>
          <w:rStyle w:val="FootnoteReference"/>
        </w:rPr>
        <w:footnoteRef/>
      </w:r>
      <w:r>
        <w:t xml:space="preserve"> </w:t>
      </w:r>
      <w:proofErr w:type="gramStart"/>
      <w:r>
        <w:rPr>
          <w:lang w:val="en-US"/>
        </w:rPr>
        <w:t>Ibid p</w:t>
      </w:r>
      <w:r>
        <w:t xml:space="preserve"> 50.</w:t>
      </w:r>
      <w:proofErr w:type="gramEnd"/>
      <w:r>
        <w:t xml:space="preserve"> </w:t>
      </w:r>
    </w:p>
  </w:footnote>
  <w:footnote w:id="42">
    <w:p w:rsidR="00C373AC" w:rsidRDefault="00C373AC">
      <w:pPr>
        <w:pStyle w:val="FootnoteText"/>
      </w:pPr>
      <w:r>
        <w:rPr>
          <w:rStyle w:val="FootnoteReference"/>
        </w:rPr>
        <w:footnoteRef/>
      </w:r>
      <w:r>
        <w:t xml:space="preserve"> </w:t>
      </w:r>
      <w:proofErr w:type="gramStart"/>
      <w:r>
        <w:rPr>
          <w:lang w:val="en-US"/>
        </w:rPr>
        <w:t>Ibid p</w:t>
      </w:r>
      <w:r>
        <w:t xml:space="preserve"> 50.</w:t>
      </w:r>
      <w:proofErr w:type="gramEnd"/>
    </w:p>
  </w:footnote>
  <w:footnote w:id="43">
    <w:p w:rsidR="00C373AC" w:rsidRDefault="00C373AC">
      <w:pPr>
        <w:pStyle w:val="FootnoteText"/>
      </w:pPr>
      <w:r>
        <w:rPr>
          <w:rStyle w:val="FootnoteReference"/>
        </w:rPr>
        <w:footnoteRef/>
      </w:r>
      <w:r>
        <w:t xml:space="preserve"> </w:t>
      </w:r>
      <w:proofErr w:type="gramStart"/>
      <w:r>
        <w:rPr>
          <w:lang w:val="en-US"/>
        </w:rPr>
        <w:t>Ibid p</w:t>
      </w:r>
      <w:r>
        <w:t xml:space="preserve"> 51.</w:t>
      </w:r>
      <w:proofErr w:type="gramEnd"/>
    </w:p>
  </w:footnote>
  <w:footnote w:id="44">
    <w:p w:rsidR="00C373AC" w:rsidRDefault="00C373AC">
      <w:pPr>
        <w:pStyle w:val="FootnoteText"/>
      </w:pPr>
      <w:r>
        <w:rPr>
          <w:rStyle w:val="FootnoteReference"/>
        </w:rPr>
        <w:footnoteRef/>
      </w:r>
      <w:r>
        <w:t xml:space="preserve"> </w:t>
      </w:r>
      <w:proofErr w:type="gramStart"/>
      <w:r>
        <w:rPr>
          <w:lang w:val="en-US"/>
        </w:rPr>
        <w:t>Ibid p</w:t>
      </w:r>
      <w:r>
        <w:t xml:space="preserve"> 51.</w:t>
      </w:r>
      <w:proofErr w:type="gramEnd"/>
    </w:p>
  </w:footnote>
  <w:footnote w:id="45">
    <w:p w:rsidR="00C373AC" w:rsidRDefault="00C373AC">
      <w:pPr>
        <w:pStyle w:val="FootnoteText"/>
      </w:pPr>
      <w:r>
        <w:rPr>
          <w:rStyle w:val="FootnoteReference"/>
        </w:rPr>
        <w:footnoteRef/>
      </w:r>
      <w:r>
        <w:t xml:space="preserve"> </w:t>
      </w:r>
      <w:proofErr w:type="gramStart"/>
      <w:r>
        <w:rPr>
          <w:lang w:val="en-US"/>
        </w:rPr>
        <w:t>Ibid p</w:t>
      </w:r>
      <w:r>
        <w:t xml:space="preserve"> 51.</w:t>
      </w:r>
      <w:proofErr w:type="gramEnd"/>
    </w:p>
  </w:footnote>
  <w:footnote w:id="46">
    <w:p w:rsidR="00C373AC" w:rsidRDefault="00C373AC">
      <w:pPr>
        <w:pStyle w:val="FootnoteText"/>
      </w:pPr>
      <w:r>
        <w:rPr>
          <w:rStyle w:val="FootnoteReference"/>
        </w:rPr>
        <w:footnoteRef/>
      </w:r>
      <w:r>
        <w:t xml:space="preserve"> </w:t>
      </w:r>
      <w:proofErr w:type="gramStart"/>
      <w:r>
        <w:rPr>
          <w:lang w:val="en-US"/>
        </w:rPr>
        <w:t>Ibid p</w:t>
      </w:r>
      <w:r>
        <w:t xml:space="preserve"> 52.</w:t>
      </w:r>
      <w:proofErr w:type="gramEnd"/>
    </w:p>
  </w:footnote>
  <w:footnote w:id="47">
    <w:p w:rsidR="00C373AC" w:rsidRDefault="00C373AC" w:rsidP="004A3F7F">
      <w:pPr>
        <w:pStyle w:val="FootnoteText"/>
      </w:pPr>
      <w:r>
        <w:rPr>
          <w:rStyle w:val="FootnoteReference"/>
        </w:rPr>
        <w:footnoteRef/>
      </w:r>
      <w:r>
        <w:t xml:space="preserve"> Department of Agrarian Reform Q&amp;A on CARP, accessed 22 January 2018 &lt;</w:t>
      </w:r>
      <w:r w:rsidRPr="008D0015">
        <w:t>http://www.dar.gov.ph/q-and-a-on-carp/english</w:t>
      </w:r>
      <w:r>
        <w:t xml:space="preserve">&gt;. </w:t>
      </w:r>
    </w:p>
  </w:footnote>
  <w:footnote w:id="48">
    <w:p w:rsidR="00C373AC" w:rsidRDefault="00C373AC" w:rsidP="004A3F7F">
      <w:pPr>
        <w:pStyle w:val="FootnoteText"/>
      </w:pPr>
      <w:r>
        <w:rPr>
          <w:rStyle w:val="FootnoteReference"/>
        </w:rPr>
        <w:footnoteRef/>
      </w:r>
      <w:r>
        <w:t xml:space="preserve"> </w:t>
      </w:r>
      <w:proofErr w:type="gramStart"/>
      <w:r>
        <w:rPr>
          <w:lang w:val="en-US"/>
        </w:rPr>
        <w:t xml:space="preserve">Above n </w:t>
      </w:r>
      <w:r>
        <w:rPr>
          <w:lang w:val="en-US"/>
        </w:rPr>
        <w:fldChar w:fldCharType="begin"/>
      </w:r>
      <w:r>
        <w:rPr>
          <w:lang w:val="en-US"/>
        </w:rPr>
        <w:instrText xml:space="preserve"> NOTEREF _Ref490636527 \h </w:instrText>
      </w:r>
      <w:r>
        <w:rPr>
          <w:lang w:val="en-US"/>
        </w:rPr>
      </w:r>
      <w:r>
        <w:rPr>
          <w:lang w:val="en-US"/>
        </w:rPr>
        <w:fldChar w:fldCharType="separate"/>
      </w:r>
      <w:r>
        <w:rPr>
          <w:lang w:val="en-US"/>
        </w:rPr>
        <w:t>20</w:t>
      </w:r>
      <w:r>
        <w:rPr>
          <w:lang w:val="en-US"/>
        </w:rPr>
        <w:fldChar w:fldCharType="end"/>
      </w:r>
      <w:r>
        <w:rPr>
          <w:lang w:val="en-US"/>
        </w:rPr>
        <w:t>, p</w:t>
      </w:r>
      <w:r>
        <w:t xml:space="preserve"> 43.</w:t>
      </w:r>
      <w:proofErr w:type="gramEnd"/>
    </w:p>
  </w:footnote>
  <w:footnote w:id="49">
    <w:p w:rsidR="00C373AC" w:rsidRDefault="00C373AC" w:rsidP="004A3F7F">
      <w:pPr>
        <w:pStyle w:val="FootnoteText"/>
      </w:pPr>
      <w:r>
        <w:rPr>
          <w:rStyle w:val="FootnoteReference"/>
        </w:rPr>
        <w:footnoteRef/>
      </w:r>
      <w:r>
        <w:t xml:space="preserve"> </w:t>
      </w:r>
      <w:proofErr w:type="gramStart"/>
      <w:r>
        <w:rPr>
          <w:lang w:val="en-US"/>
        </w:rPr>
        <w:t>Ibid p</w:t>
      </w:r>
      <w:r>
        <w:t xml:space="preserve"> 43.</w:t>
      </w:r>
      <w:proofErr w:type="gramEnd"/>
    </w:p>
  </w:footnote>
  <w:footnote w:id="50">
    <w:p w:rsidR="00C373AC" w:rsidRDefault="00C373AC">
      <w:pPr>
        <w:pStyle w:val="FootnoteText"/>
      </w:pPr>
      <w:r>
        <w:rPr>
          <w:rStyle w:val="FootnoteReference"/>
        </w:rPr>
        <w:footnoteRef/>
      </w:r>
      <w:r>
        <w:t xml:space="preserve"> </w:t>
      </w:r>
      <w:proofErr w:type="gramStart"/>
      <w:r>
        <w:rPr>
          <w:lang w:val="en-US"/>
        </w:rPr>
        <w:t>Ibid p</w:t>
      </w:r>
      <w:r>
        <w:t xml:space="preserve"> 47.</w:t>
      </w:r>
      <w:proofErr w:type="gramEnd"/>
    </w:p>
  </w:footnote>
  <w:footnote w:id="51">
    <w:p w:rsidR="00C373AC" w:rsidRDefault="00C373AC" w:rsidP="004A3F7F">
      <w:pPr>
        <w:pStyle w:val="FootnoteText"/>
      </w:pPr>
      <w:r>
        <w:rPr>
          <w:rStyle w:val="FootnoteReference"/>
        </w:rPr>
        <w:footnoteRef/>
      </w:r>
      <w:r>
        <w:t xml:space="preserve"> </w:t>
      </w:r>
      <w:r w:rsidRPr="00274841">
        <w:t xml:space="preserve">World Organisation </w:t>
      </w:r>
      <w:proofErr w:type="gramStart"/>
      <w:r w:rsidRPr="00274841">
        <w:t>Against</w:t>
      </w:r>
      <w:proofErr w:type="gramEnd"/>
      <w:r w:rsidRPr="00274841">
        <w:t xml:space="preserve"> Torture, </w:t>
      </w:r>
      <w:r w:rsidRPr="001F77AB">
        <w:rPr>
          <w:i/>
        </w:rPr>
        <w:t>Addressing the Economic, Social and Cultural Root Causes of Torture and other forms of Violence in the Philippines</w:t>
      </w:r>
      <w:r>
        <w:t xml:space="preserve"> (3 November 2008), accessed 22 January 2018 &lt;</w:t>
      </w:r>
      <w:r w:rsidRPr="008D0015">
        <w:t>http://www.refworld.org/docid/491403c52.html</w:t>
      </w:r>
      <w:r>
        <w:t>&gt;.</w:t>
      </w:r>
    </w:p>
  </w:footnote>
  <w:footnote w:id="52">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_Ref490636451 \h </w:instrText>
      </w:r>
      <w:r>
        <w:fldChar w:fldCharType="separate"/>
      </w:r>
      <w:r>
        <w:t>15</w:t>
      </w:r>
      <w:r>
        <w:fldChar w:fldCharType="end"/>
      </w:r>
      <w:r>
        <w:t>, p 10.</w:t>
      </w:r>
      <w:proofErr w:type="gramEnd"/>
    </w:p>
  </w:footnote>
  <w:footnote w:id="53">
    <w:p w:rsidR="00C373AC" w:rsidRDefault="00C373AC" w:rsidP="004A3F7F">
      <w:pPr>
        <w:pStyle w:val="FootnoteText"/>
      </w:pPr>
      <w:r>
        <w:rPr>
          <w:rStyle w:val="FootnoteReference"/>
        </w:rPr>
        <w:footnoteRef/>
      </w:r>
      <w:r>
        <w:t xml:space="preserve"> International Federation for Human Rights, </w:t>
      </w:r>
      <w:r w:rsidRPr="001F77AB">
        <w:rPr>
          <w:i/>
        </w:rPr>
        <w:t>Report: International Fact-finding Mission in cooperation with the Philippine Alliance of Human Rights Advocates (PAHRA) and the International Rehabilitation Council for Torture Victims (IRCT)</w:t>
      </w:r>
      <w:r>
        <w:t xml:space="preserve"> (April 2008) p 28.</w:t>
      </w:r>
    </w:p>
  </w:footnote>
  <w:footnote w:id="54">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_Ref490637563 \h </w:instrText>
      </w:r>
      <w:r>
        <w:fldChar w:fldCharType="separate"/>
      </w:r>
      <w:r>
        <w:t>51</w:t>
      </w:r>
      <w:r>
        <w:fldChar w:fldCharType="end"/>
      </w:r>
      <w:r>
        <w:t>.</w:t>
      </w:r>
      <w:proofErr w:type="gramEnd"/>
    </w:p>
  </w:footnote>
  <w:footnote w:id="55">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_Ref490636905 \h </w:instrText>
      </w:r>
      <w:r>
        <w:fldChar w:fldCharType="separate"/>
      </w:r>
      <w:r>
        <w:t>52</w:t>
      </w:r>
      <w:r>
        <w:fldChar w:fldCharType="end"/>
      </w:r>
      <w:r>
        <w:t>, p 3.</w:t>
      </w:r>
      <w:proofErr w:type="gramEnd"/>
    </w:p>
  </w:footnote>
  <w:footnote w:id="56">
    <w:p w:rsidR="00C373AC" w:rsidRDefault="00C373AC" w:rsidP="004A3F7F">
      <w:pPr>
        <w:pStyle w:val="FootnoteText"/>
      </w:pPr>
      <w:r>
        <w:rPr>
          <w:rStyle w:val="FootnoteReference"/>
        </w:rPr>
        <w:footnoteRef/>
      </w:r>
      <w:r>
        <w:t xml:space="preserve"> </w:t>
      </w:r>
      <w:proofErr w:type="gramStart"/>
      <w:r>
        <w:t xml:space="preserve">Above n </w:t>
      </w:r>
      <w:r>
        <w:fldChar w:fldCharType="begin"/>
      </w:r>
      <w:r>
        <w:instrText xml:space="preserve"> NOTEREF _Ref490636935 \h </w:instrText>
      </w:r>
      <w:r>
        <w:fldChar w:fldCharType="separate"/>
      </w:r>
      <w:r>
        <w:t>54</w:t>
      </w:r>
      <w:r>
        <w:fldChar w:fldCharType="end"/>
      </w:r>
      <w:r>
        <w:t>.</w:t>
      </w:r>
      <w:proofErr w:type="gramEnd"/>
    </w:p>
  </w:footnote>
  <w:footnote w:id="57">
    <w:p w:rsidR="00C373AC" w:rsidRDefault="00C373AC" w:rsidP="004A3F7F">
      <w:pPr>
        <w:pStyle w:val="FootnoteText"/>
      </w:pPr>
      <w:r>
        <w:rPr>
          <w:rStyle w:val="FootnoteReference"/>
        </w:rPr>
        <w:footnoteRef/>
      </w:r>
      <w:r>
        <w:t xml:space="preserve"> </w:t>
      </w:r>
      <w:proofErr w:type="gramStart"/>
      <w:r>
        <w:t xml:space="preserve">UN </w:t>
      </w:r>
      <w:r w:rsidRPr="00167ABE">
        <w:t>Working Group o</w:t>
      </w:r>
      <w:r>
        <w:t>n the Universal Periodic Review, 1</w:t>
      </w:r>
      <w:r w:rsidRPr="00167ABE">
        <w:rPr>
          <w:vertAlign w:val="superscript"/>
        </w:rPr>
        <w:t>st</w:t>
      </w:r>
      <w:r>
        <w:t xml:space="preserve"> session, Geneva (7-18 April 2008) UN Doc A/HRC/WG6/1/PHL/3 para 30 &lt;</w:t>
      </w:r>
      <w:r w:rsidRPr="008D0015">
        <w:t>http://alrc.asia/wp-content/uploads/2015/07/UPR01-Philippines_OHCHRsummary_Stakeholders.pdf</w:t>
      </w:r>
      <w:r>
        <w:t>&gt;.</w:t>
      </w:r>
      <w:proofErr w:type="gramEnd"/>
    </w:p>
  </w:footnote>
  <w:footnote w:id="58">
    <w:p w:rsidR="00C373AC" w:rsidRDefault="00C373AC" w:rsidP="004A3F7F">
      <w:pPr>
        <w:pStyle w:val="FootnoteText"/>
      </w:pPr>
      <w:r>
        <w:rPr>
          <w:rStyle w:val="FootnoteReference"/>
        </w:rPr>
        <w:footnoteRef/>
      </w:r>
      <w:r>
        <w:t xml:space="preserve"> </w:t>
      </w:r>
      <w:proofErr w:type="spellStart"/>
      <w:proofErr w:type="gramStart"/>
      <w:r>
        <w:t>FoodFirst</w:t>
      </w:r>
      <w:proofErr w:type="spellEnd"/>
      <w:r>
        <w:t xml:space="preserve"> Information and Action Network, UPR submission, November 2007, p 1.</w:t>
      </w:r>
      <w:proofErr w:type="gramEnd"/>
      <w:r>
        <w:t xml:space="preserve"> </w:t>
      </w:r>
    </w:p>
  </w:footnote>
  <w:footnote w:id="59">
    <w:p w:rsidR="00C373AC" w:rsidRDefault="00C373AC" w:rsidP="004A3F7F">
      <w:pPr>
        <w:pStyle w:val="FootnoteText"/>
      </w:pPr>
      <w:r>
        <w:rPr>
          <w:rStyle w:val="FootnoteReference"/>
        </w:rPr>
        <w:footnoteRef/>
      </w:r>
      <w:r>
        <w:t xml:space="preserve"> Ibid.</w:t>
      </w:r>
    </w:p>
  </w:footnote>
  <w:footnote w:id="60">
    <w:p w:rsidR="00C373AC" w:rsidRDefault="00C373AC">
      <w:pPr>
        <w:pStyle w:val="FootnoteText"/>
      </w:pPr>
      <w:r>
        <w:rPr>
          <w:rStyle w:val="FootnoteReference"/>
        </w:rPr>
        <w:footnoteRef/>
      </w:r>
      <w:r>
        <w:t xml:space="preserve"> </w:t>
      </w:r>
      <w:proofErr w:type="spellStart"/>
      <w:r>
        <w:t>Kaisahan</w:t>
      </w:r>
      <w:proofErr w:type="spellEnd"/>
      <w:r>
        <w:t xml:space="preserve"> </w:t>
      </w:r>
      <w:proofErr w:type="spellStart"/>
      <w:r>
        <w:t>Inc</w:t>
      </w:r>
      <w:proofErr w:type="spellEnd"/>
      <w:r>
        <w:t xml:space="preserve">, </w:t>
      </w:r>
      <w:r w:rsidRPr="001F77AB">
        <w:rPr>
          <w:i/>
        </w:rPr>
        <w:t>Position Paper on House Bill No 5085</w:t>
      </w:r>
      <w:r>
        <w:t>, accessed 22 January 2018 &lt;</w:t>
      </w:r>
      <w:r w:rsidRPr="008D0015">
        <w:t>http://www.kaisahan.com.ph/wp-content/uploads/2017/10/POSITION-PAPER-HB-5085-AVA.pdf</w:t>
      </w:r>
      <w:r>
        <w:t>&gt;.</w:t>
      </w:r>
    </w:p>
  </w:footnote>
  <w:footnote w:id="61">
    <w:p w:rsidR="00C373AC" w:rsidRDefault="00C373AC">
      <w:pPr>
        <w:pStyle w:val="FootnoteText"/>
      </w:pPr>
      <w:r>
        <w:rPr>
          <w:rStyle w:val="FootnoteReference"/>
        </w:rPr>
        <w:footnoteRef/>
      </w:r>
      <w:r>
        <w:t xml:space="preserve"> </w:t>
      </w:r>
      <w:proofErr w:type="gramStart"/>
      <w:r>
        <w:t>Section 6(1) of PRD 1529.</w:t>
      </w:r>
      <w:proofErr w:type="gramEnd"/>
    </w:p>
  </w:footnote>
  <w:footnote w:id="62">
    <w:p w:rsidR="00C373AC" w:rsidRDefault="00C373AC">
      <w:pPr>
        <w:pStyle w:val="FootnoteText"/>
      </w:pPr>
      <w:r>
        <w:rPr>
          <w:rStyle w:val="FootnoteReference"/>
        </w:rPr>
        <w:footnoteRef/>
      </w:r>
      <w:r>
        <w:t xml:space="preserve"> </w:t>
      </w:r>
      <w:proofErr w:type="gramStart"/>
      <w:r>
        <w:t>Sections 11 and 12 of IPRA.</w:t>
      </w:r>
      <w:proofErr w:type="gramEnd"/>
      <w:r>
        <w:t xml:space="preserve"> </w:t>
      </w:r>
    </w:p>
  </w:footnote>
  <w:footnote w:id="63">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_Ref490637000 \h </w:instrText>
      </w:r>
      <w:r>
        <w:fldChar w:fldCharType="separate"/>
      </w:r>
      <w:r>
        <w:t>22</w:t>
      </w:r>
      <w:r>
        <w:fldChar w:fldCharType="end"/>
      </w:r>
      <w:r>
        <w:t>, p 9.</w:t>
      </w:r>
      <w:proofErr w:type="gramEnd"/>
    </w:p>
  </w:footnote>
  <w:footnote w:id="64">
    <w:p w:rsidR="00C373AC" w:rsidRDefault="00C373AC">
      <w:pPr>
        <w:pStyle w:val="FootnoteText"/>
      </w:pPr>
      <w:r>
        <w:rPr>
          <w:rStyle w:val="FootnoteReference"/>
        </w:rPr>
        <w:footnoteRef/>
      </w:r>
      <w:r>
        <w:t xml:space="preserve"> </w:t>
      </w:r>
      <w:proofErr w:type="gramStart"/>
      <w:r>
        <w:t>Section 18(d) of UDHA, which implemented the program in 1992; Ibid p 9.</w:t>
      </w:r>
      <w:proofErr w:type="gramEnd"/>
    </w:p>
  </w:footnote>
  <w:footnote w:id="65">
    <w:p w:rsidR="00C373AC" w:rsidRDefault="00C373AC">
      <w:pPr>
        <w:pStyle w:val="FootnoteText"/>
      </w:pPr>
      <w:r>
        <w:rPr>
          <w:rStyle w:val="FootnoteReference"/>
        </w:rPr>
        <w:footnoteRef/>
      </w:r>
      <w:r>
        <w:t xml:space="preserve"> </w:t>
      </w:r>
      <w:proofErr w:type="gramStart"/>
      <w:r>
        <w:t>Section 18(d) of UDHA, which implemented the program in 1992; Ibid p 10.</w:t>
      </w:r>
      <w:proofErr w:type="gramEnd"/>
    </w:p>
  </w:footnote>
  <w:footnote w:id="66">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PAGEREF _Ref490637107 \h </w:instrText>
      </w:r>
      <w:r>
        <w:fldChar w:fldCharType="separate"/>
      </w:r>
      <w:r>
        <w:rPr>
          <w:noProof/>
        </w:rPr>
        <w:t>6</w:t>
      </w:r>
      <w:r>
        <w:fldChar w:fldCharType="end"/>
      </w:r>
      <w:r>
        <w:t>, p 15.</w:t>
      </w:r>
      <w:proofErr w:type="gramEnd"/>
      <w:r>
        <w:t xml:space="preserve"> </w:t>
      </w:r>
    </w:p>
  </w:footnote>
  <w:footnote w:id="67">
    <w:p w:rsidR="00C373AC" w:rsidRDefault="00C373AC" w:rsidP="004A3F7F">
      <w:pPr>
        <w:pStyle w:val="FootnoteText"/>
      </w:pPr>
      <w:r>
        <w:rPr>
          <w:rStyle w:val="FootnoteReference"/>
        </w:rPr>
        <w:footnoteRef/>
      </w:r>
      <w:r>
        <w:t xml:space="preserve"> </w:t>
      </w:r>
      <w:proofErr w:type="gramStart"/>
      <w:r>
        <w:t>Ibid p 24.</w:t>
      </w:r>
      <w:proofErr w:type="gramEnd"/>
    </w:p>
  </w:footnote>
  <w:footnote w:id="68">
    <w:p w:rsidR="00C373AC" w:rsidRPr="004131F7" w:rsidRDefault="00C373AC" w:rsidP="008A5BB7">
      <w:pPr>
        <w:pStyle w:val="FootnoteText"/>
        <w:rPr>
          <w:lang w:val="en-US"/>
        </w:rPr>
      </w:pPr>
      <w:r>
        <w:rPr>
          <w:rStyle w:val="FootnoteReference"/>
        </w:rPr>
        <w:footnoteRef/>
      </w:r>
      <w:r>
        <w:t xml:space="preserve"> </w:t>
      </w:r>
      <w:proofErr w:type="gramStart"/>
      <w:r>
        <w:t>Section 3 of IPRA.</w:t>
      </w:r>
      <w:proofErr w:type="gramEnd"/>
      <w:r>
        <w:t xml:space="preserve"> </w:t>
      </w:r>
    </w:p>
  </w:footnote>
  <w:footnote w:id="69">
    <w:p w:rsidR="00C373AC" w:rsidRPr="00726207" w:rsidRDefault="00C373AC" w:rsidP="008A5BB7">
      <w:pPr>
        <w:pStyle w:val="Footer"/>
        <w:rPr>
          <w:lang w:val="en-US"/>
        </w:rPr>
      </w:pPr>
      <w:r>
        <w:rPr>
          <w:rStyle w:val="FootnoteReference"/>
        </w:rPr>
        <w:footnoteRef/>
      </w:r>
      <w:r>
        <w:t xml:space="preserve"> World Intellectual Property Organisation, </w:t>
      </w:r>
      <w:r w:rsidRPr="001F77AB">
        <w:rPr>
          <w:i/>
        </w:rPr>
        <w:t>Customary Law and Traditional Knowledge</w:t>
      </w:r>
      <w:r>
        <w:rPr>
          <w:i/>
        </w:rPr>
        <w:t xml:space="preserve"> </w:t>
      </w:r>
      <w:r>
        <w:t>(Background Brief No 7, 2016) &lt;</w:t>
      </w:r>
      <w:r w:rsidRPr="008D0015">
        <w:t>http://www.wipo.int/edocs/pubdocs/en/wipo_pub_tk_7.pdf</w:t>
      </w:r>
      <w:r>
        <w:rPr>
          <w:lang w:val="en-US"/>
        </w:rPr>
        <w:t>&gt;.</w:t>
      </w:r>
    </w:p>
  </w:footnote>
  <w:footnote w:id="70">
    <w:p w:rsidR="00C373AC" w:rsidRPr="00713DBA" w:rsidRDefault="00C373AC" w:rsidP="00755333">
      <w:pPr>
        <w:pStyle w:val="FootnoteText"/>
        <w:rPr>
          <w:lang w:val="en-US"/>
        </w:rPr>
      </w:pPr>
      <w:r>
        <w:rPr>
          <w:rStyle w:val="FootnoteReference"/>
        </w:rPr>
        <w:footnoteRef/>
      </w:r>
      <w:r>
        <w:t xml:space="preserve"> Raja </w:t>
      </w:r>
      <w:proofErr w:type="spellStart"/>
      <w:r>
        <w:t>Devasish</w:t>
      </w:r>
      <w:proofErr w:type="spellEnd"/>
      <w:r>
        <w:t xml:space="preserve"> Roy, </w:t>
      </w:r>
      <w:r w:rsidRPr="001F77AB">
        <w:rPr>
          <w:i/>
        </w:rPr>
        <w:t>Traditional Customary laws and Indigenous Peoples in Asia</w:t>
      </w:r>
      <w:r>
        <w:rPr>
          <w:lang w:val="en-US"/>
        </w:rPr>
        <w:t xml:space="preserve"> (Report, Minority Rights Group International, March 2005) p 16.</w:t>
      </w:r>
    </w:p>
  </w:footnote>
  <w:footnote w:id="71">
    <w:p w:rsidR="00C373AC" w:rsidRPr="00865F17" w:rsidRDefault="00C373AC" w:rsidP="00865F17">
      <w:pPr>
        <w:pStyle w:val="FootnoteText"/>
        <w:rPr>
          <w:lang w:val="en-US"/>
        </w:rPr>
      </w:pPr>
      <w:r>
        <w:rPr>
          <w:rStyle w:val="FootnoteReference"/>
        </w:rPr>
        <w:footnoteRef/>
      </w:r>
      <w:r>
        <w:t xml:space="preserve"> </w:t>
      </w:r>
      <w:r w:rsidRPr="00AD5D4A">
        <w:rPr>
          <w:rStyle w:val="FooterChar"/>
        </w:rPr>
        <w:t xml:space="preserve">United </w:t>
      </w:r>
      <w:r>
        <w:rPr>
          <w:rStyle w:val="FooterChar"/>
        </w:rPr>
        <w:t xml:space="preserve">Nations Development Programme, </w:t>
      </w:r>
      <w:r w:rsidRPr="001F77AB">
        <w:rPr>
          <w:rStyle w:val="FooterChar"/>
          <w:i/>
        </w:rPr>
        <w:t>Indigenous Peoples in the Philippines</w:t>
      </w:r>
      <w:r w:rsidRPr="00AD5D4A">
        <w:rPr>
          <w:rStyle w:val="FooterChar"/>
        </w:rPr>
        <w:t xml:space="preserve"> (2010) Fast Facts</w:t>
      </w:r>
      <w:r>
        <w:rPr>
          <w:rStyle w:val="FooterChar"/>
        </w:rPr>
        <w:t>, accessed 22 January 2018</w:t>
      </w:r>
      <w:r w:rsidRPr="00AD5D4A">
        <w:rPr>
          <w:rStyle w:val="FooterChar"/>
        </w:rPr>
        <w:t xml:space="preserve"> </w:t>
      </w:r>
      <w:r w:rsidRPr="008D0015">
        <w:rPr>
          <w:rStyle w:val="FooterChar"/>
          <w:color w:val="000000" w:themeColor="text1"/>
        </w:rPr>
        <w:t>&lt;http://www.ph.undp.org/content/philippines/en/home/library/democratic_governance/FastFacts-IPs.html&gt;.</w:t>
      </w:r>
    </w:p>
  </w:footnote>
  <w:footnote w:id="72">
    <w:p w:rsidR="00C373AC" w:rsidRPr="00C16513" w:rsidRDefault="00C373AC">
      <w:pPr>
        <w:pStyle w:val="FootnoteText"/>
        <w:rPr>
          <w:lang w:val="en-US"/>
        </w:rPr>
      </w:pPr>
      <w:r>
        <w:rPr>
          <w:rStyle w:val="FootnoteReference"/>
        </w:rPr>
        <w:footnoteRef/>
      </w:r>
      <w:r>
        <w:t xml:space="preserve"> </w:t>
      </w:r>
      <w:r>
        <w:rPr>
          <w:lang w:val="en-US"/>
        </w:rPr>
        <w:t xml:space="preserve">For a discussion of customary law for IPs in Mindanao, see, </w:t>
      </w:r>
      <w:proofErr w:type="spellStart"/>
      <w:r>
        <w:rPr>
          <w:lang w:val="en-US"/>
        </w:rPr>
        <w:t>eg</w:t>
      </w:r>
      <w:proofErr w:type="spellEnd"/>
      <w:r>
        <w:rPr>
          <w:lang w:val="en-US"/>
        </w:rPr>
        <w:t xml:space="preserve">, </w:t>
      </w:r>
      <w:proofErr w:type="spellStart"/>
      <w:r>
        <w:rPr>
          <w:lang w:val="en-US"/>
        </w:rPr>
        <w:t>Erlinda</w:t>
      </w:r>
      <w:proofErr w:type="spellEnd"/>
      <w:r>
        <w:rPr>
          <w:lang w:val="en-US"/>
        </w:rPr>
        <w:t xml:space="preserve"> M Burton, </w:t>
      </w:r>
      <w:r>
        <w:rPr>
          <w:i/>
          <w:lang w:val="en-US"/>
        </w:rPr>
        <w:t xml:space="preserve">The Concept of Justice among the Indigenous Communities of Northeastern Mindanao: A Comparative Study of Customary law and Resolution of Conflicts </w:t>
      </w:r>
      <w:r>
        <w:rPr>
          <w:lang w:val="en-US"/>
        </w:rPr>
        <w:t>(Research institute for Mindanao Culture, Xavier University, 1991).</w:t>
      </w:r>
    </w:p>
  </w:footnote>
  <w:footnote w:id="73">
    <w:p w:rsidR="00C373AC" w:rsidRPr="0051676A" w:rsidRDefault="00C373AC" w:rsidP="00755333">
      <w:pPr>
        <w:pStyle w:val="FootnoteText"/>
        <w:rPr>
          <w:lang w:val="en-US"/>
        </w:rPr>
      </w:pPr>
      <w:r>
        <w:rPr>
          <w:rStyle w:val="FootnoteReference"/>
        </w:rPr>
        <w:footnoteRef/>
      </w:r>
      <w:r>
        <w:t xml:space="preserve"> Jose </w:t>
      </w:r>
      <w:proofErr w:type="spellStart"/>
      <w:r>
        <w:t>Mencio</w:t>
      </w:r>
      <w:proofErr w:type="spellEnd"/>
      <w:r>
        <w:t xml:space="preserve"> </w:t>
      </w:r>
      <w:proofErr w:type="spellStart"/>
      <w:r>
        <w:t>Molintas</w:t>
      </w:r>
      <w:proofErr w:type="spellEnd"/>
      <w:r>
        <w:t xml:space="preserve">, </w:t>
      </w:r>
      <w:r w:rsidRPr="00806EA2">
        <w:rPr>
          <w:i/>
        </w:rPr>
        <w:t>The Philippine Indigenous Peoples' Struggle for Land and Life: Challenging Legal Texts</w:t>
      </w:r>
      <w:r>
        <w:t xml:space="preserve"> (2004) 21 </w:t>
      </w:r>
      <w:r w:rsidRPr="00806EA2">
        <w:t>Arizona Journal of International and Comparative Law</w:t>
      </w:r>
      <w:r>
        <w:t xml:space="preserve"> 269, pp 277–9.</w:t>
      </w:r>
    </w:p>
  </w:footnote>
  <w:footnote w:id="74">
    <w:p w:rsidR="00C373AC" w:rsidRPr="0051676A" w:rsidRDefault="00C373AC" w:rsidP="00755333">
      <w:pPr>
        <w:pStyle w:val="FootnoteText"/>
        <w:rPr>
          <w:lang w:val="en-US"/>
        </w:rPr>
      </w:pPr>
      <w:r>
        <w:rPr>
          <w:rStyle w:val="FootnoteReference"/>
        </w:rPr>
        <w:footnoteRef/>
      </w:r>
      <w:r>
        <w:t xml:space="preserve"> </w:t>
      </w:r>
      <w:proofErr w:type="gramStart"/>
      <w:r>
        <w:t>Ibid pp 277–9.</w:t>
      </w:r>
      <w:proofErr w:type="gramEnd"/>
    </w:p>
  </w:footnote>
  <w:footnote w:id="75">
    <w:p w:rsidR="00C373AC" w:rsidRPr="0051676A" w:rsidRDefault="00C373AC" w:rsidP="00755333">
      <w:pPr>
        <w:pStyle w:val="FootnoteText"/>
        <w:rPr>
          <w:lang w:val="en-US"/>
        </w:rPr>
      </w:pPr>
      <w:r>
        <w:rPr>
          <w:rStyle w:val="FootnoteReference"/>
        </w:rPr>
        <w:footnoteRef/>
      </w:r>
      <w:r>
        <w:t xml:space="preserve"> </w:t>
      </w:r>
      <w:proofErr w:type="gramStart"/>
      <w:r>
        <w:t>Ibid p 289.</w:t>
      </w:r>
      <w:proofErr w:type="gramEnd"/>
    </w:p>
  </w:footnote>
  <w:footnote w:id="76">
    <w:p w:rsidR="00C373AC" w:rsidRPr="0051676A" w:rsidRDefault="00C373AC" w:rsidP="00755333">
      <w:pPr>
        <w:pStyle w:val="FootnoteText"/>
        <w:rPr>
          <w:lang w:val="en-US"/>
        </w:rPr>
      </w:pPr>
      <w:r>
        <w:rPr>
          <w:rStyle w:val="FootnoteReference"/>
        </w:rPr>
        <w:footnoteRef/>
      </w:r>
      <w:r>
        <w:t xml:space="preserve"> </w:t>
      </w:r>
      <w:proofErr w:type="gramStart"/>
      <w:r>
        <w:t>Ibid p 278.</w:t>
      </w:r>
      <w:proofErr w:type="gramEnd"/>
    </w:p>
  </w:footnote>
  <w:footnote w:id="77">
    <w:p w:rsidR="00C373AC" w:rsidRPr="0051676A" w:rsidRDefault="00C373AC" w:rsidP="00755333">
      <w:pPr>
        <w:pStyle w:val="FootnoteText"/>
        <w:rPr>
          <w:lang w:val="en-US"/>
        </w:rPr>
      </w:pPr>
      <w:r>
        <w:rPr>
          <w:rStyle w:val="FootnoteReference"/>
        </w:rPr>
        <w:footnoteRef/>
      </w:r>
      <w:r>
        <w:t xml:space="preserve"> </w:t>
      </w:r>
      <w:proofErr w:type="gramStart"/>
      <w:r>
        <w:t>Ibid pp 277–8.</w:t>
      </w:r>
      <w:proofErr w:type="gramEnd"/>
    </w:p>
  </w:footnote>
  <w:footnote w:id="78">
    <w:p w:rsidR="00C373AC" w:rsidRPr="0051647A" w:rsidRDefault="00C373AC" w:rsidP="00755333">
      <w:pPr>
        <w:pStyle w:val="FootnoteText"/>
        <w:rPr>
          <w:lang w:val="en-US"/>
        </w:rPr>
      </w:pPr>
      <w:r>
        <w:rPr>
          <w:rStyle w:val="FootnoteReference"/>
        </w:rPr>
        <w:footnoteRef/>
      </w:r>
      <w:r>
        <w:t xml:space="preserve"> </w:t>
      </w:r>
      <w:proofErr w:type="gramStart"/>
      <w:r>
        <w:t xml:space="preserve">Ibid p </w:t>
      </w:r>
      <w:r>
        <w:rPr>
          <w:lang w:val="en-US"/>
        </w:rPr>
        <w:t>289.</w:t>
      </w:r>
      <w:proofErr w:type="gramEnd"/>
    </w:p>
  </w:footnote>
  <w:footnote w:id="79">
    <w:p w:rsidR="00C373AC" w:rsidRPr="00C532F8" w:rsidRDefault="00C373AC" w:rsidP="00755333">
      <w:pPr>
        <w:pStyle w:val="FootnoteText"/>
        <w:rPr>
          <w:lang w:val="en-US"/>
        </w:rPr>
      </w:pPr>
      <w:r>
        <w:rPr>
          <w:rStyle w:val="FootnoteReference"/>
        </w:rPr>
        <w:footnoteRef/>
      </w:r>
      <w:r>
        <w:t xml:space="preserve"> </w:t>
      </w:r>
      <w:r>
        <w:rPr>
          <w:lang w:val="en-US"/>
        </w:rPr>
        <w:t xml:space="preserve">US Aid, </w:t>
      </w:r>
      <w:r>
        <w:rPr>
          <w:i/>
          <w:lang w:val="en-US"/>
        </w:rPr>
        <w:t>Country Profile: Property Rights and Resource Governance: Philippines</w:t>
      </w:r>
      <w:r>
        <w:rPr>
          <w:lang w:val="en-US"/>
        </w:rPr>
        <w:t>, 2011, p 8.</w:t>
      </w:r>
    </w:p>
  </w:footnote>
  <w:footnote w:id="80">
    <w:p w:rsidR="00C373AC" w:rsidRDefault="00C373AC" w:rsidP="00755333">
      <w:pPr>
        <w:pStyle w:val="FootnoteText"/>
      </w:pPr>
      <w:r>
        <w:rPr>
          <w:rStyle w:val="FootnoteReference"/>
        </w:rPr>
        <w:footnoteRef/>
      </w:r>
      <w:r>
        <w:t xml:space="preserve"> </w:t>
      </w:r>
      <w:proofErr w:type="gramStart"/>
      <w:r>
        <w:t>Ibid</w:t>
      </w:r>
      <w:r>
        <w:rPr>
          <w:lang w:val="en-US"/>
        </w:rPr>
        <w:t xml:space="preserve"> p 9</w:t>
      </w:r>
      <w:r>
        <w:t>.</w:t>
      </w:r>
      <w:proofErr w:type="gramEnd"/>
    </w:p>
  </w:footnote>
  <w:footnote w:id="81">
    <w:p w:rsidR="00C373AC" w:rsidRPr="00B47DD3" w:rsidRDefault="00C373AC" w:rsidP="00755333">
      <w:pPr>
        <w:pStyle w:val="FootnoteText"/>
        <w:rPr>
          <w:lang w:val="en-US"/>
        </w:rPr>
      </w:pPr>
      <w:r>
        <w:rPr>
          <w:rStyle w:val="FootnoteReference"/>
        </w:rPr>
        <w:footnoteRef/>
      </w:r>
      <w:r>
        <w:t xml:space="preserve"> </w:t>
      </w:r>
      <w:proofErr w:type="gramStart"/>
      <w:r>
        <w:t xml:space="preserve">Above n </w:t>
      </w:r>
      <w:r>
        <w:fldChar w:fldCharType="begin"/>
      </w:r>
      <w:r>
        <w:instrText xml:space="preserve"> NOTEREF _Ref504405631 \h </w:instrText>
      </w:r>
      <w:r>
        <w:fldChar w:fldCharType="separate"/>
      </w:r>
      <w:r>
        <w:t>70</w:t>
      </w:r>
      <w:r>
        <w:fldChar w:fldCharType="end"/>
      </w:r>
      <w:r>
        <w:t>,</w:t>
      </w:r>
      <w:r>
        <w:rPr>
          <w:lang w:val="en-US"/>
        </w:rPr>
        <w:t xml:space="preserve"> pp 6–7.</w:t>
      </w:r>
      <w:proofErr w:type="gramEnd"/>
    </w:p>
  </w:footnote>
  <w:footnote w:id="82">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_Ref490637532 \h </w:instrText>
      </w:r>
      <w:r>
        <w:fldChar w:fldCharType="separate"/>
      </w:r>
      <w:r>
        <w:t>14</w:t>
      </w:r>
      <w:r>
        <w:fldChar w:fldCharType="end"/>
      </w:r>
      <w:r>
        <w:t>.</w:t>
      </w:r>
      <w:proofErr w:type="gramEnd"/>
    </w:p>
  </w:footnote>
  <w:footnote w:id="83">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_Ref490637563 \h </w:instrText>
      </w:r>
      <w:r>
        <w:fldChar w:fldCharType="separate"/>
      </w:r>
      <w:r>
        <w:t>51</w:t>
      </w:r>
      <w:r>
        <w:fldChar w:fldCharType="end"/>
      </w:r>
      <w:r>
        <w:t>.</w:t>
      </w:r>
      <w:proofErr w:type="gramEnd"/>
    </w:p>
  </w:footnote>
  <w:footnote w:id="84">
    <w:p w:rsidR="00C373AC" w:rsidRDefault="00C373AC">
      <w:pPr>
        <w:pStyle w:val="FootnoteText"/>
      </w:pPr>
      <w:r>
        <w:rPr>
          <w:rStyle w:val="FootnoteReference"/>
        </w:rPr>
        <w:footnoteRef/>
      </w:r>
      <w:r>
        <w:t xml:space="preserve"> </w:t>
      </w:r>
      <w:proofErr w:type="spellStart"/>
      <w:proofErr w:type="gramStart"/>
      <w:r>
        <w:t>Shohei</w:t>
      </w:r>
      <w:proofErr w:type="spellEnd"/>
      <w:r>
        <w:t xml:space="preserve"> Nakamura, </w:t>
      </w:r>
      <w:r w:rsidRPr="00806EA2">
        <w:rPr>
          <w:i/>
        </w:rPr>
        <w:t>Spatial Analysis of Urban Poverty in Manila, Philippines</w:t>
      </w:r>
      <w:r>
        <w:t xml:space="preserve"> (May 2009), accessed 22 January 2017 &lt;</w:t>
      </w:r>
      <w:r w:rsidRPr="008D0015">
        <w:t>https://courses.cit.cornell.edu/crp408/papers/nakamura.pdf</w:t>
      </w:r>
      <w:r>
        <w:t>&gt;.</w:t>
      </w:r>
      <w:proofErr w:type="gramEnd"/>
    </w:p>
  </w:footnote>
  <w:footnote w:id="85">
    <w:p w:rsidR="00C373AC" w:rsidRDefault="00C373AC">
      <w:pPr>
        <w:pStyle w:val="FootnoteText"/>
      </w:pPr>
      <w:r>
        <w:rPr>
          <w:rStyle w:val="FootnoteReference"/>
        </w:rPr>
        <w:footnoteRef/>
      </w:r>
      <w:r>
        <w:t xml:space="preserve"> Charles E </w:t>
      </w:r>
      <w:proofErr w:type="spellStart"/>
      <w:r>
        <w:t>Buban</w:t>
      </w:r>
      <w:proofErr w:type="spellEnd"/>
      <w:r>
        <w:t xml:space="preserve">, </w:t>
      </w:r>
      <w:r w:rsidRPr="00806EA2">
        <w:rPr>
          <w:i/>
        </w:rPr>
        <w:t>Informal Settlements as New Growth Areas</w:t>
      </w:r>
      <w:r>
        <w:t>, September 2015, accessed 22 January 2018 &lt;</w:t>
      </w:r>
      <w:r w:rsidRPr="008D0015">
        <w:t>http://business.inquirer.net/198531/informal-settlements-as-new-growth-areas</w:t>
      </w:r>
      <w:r>
        <w:t>&gt;.</w:t>
      </w:r>
    </w:p>
  </w:footnote>
  <w:footnote w:id="86">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_Ref490636527 \h </w:instrText>
      </w:r>
      <w:r>
        <w:fldChar w:fldCharType="separate"/>
      </w:r>
      <w:r>
        <w:t>20</w:t>
      </w:r>
      <w:r>
        <w:fldChar w:fldCharType="end"/>
      </w:r>
      <w:r>
        <w:t>,</w:t>
      </w:r>
      <w:r>
        <w:rPr>
          <w:lang w:val="en-US"/>
        </w:rPr>
        <w:t xml:space="preserve"> </w:t>
      </w:r>
      <w:r>
        <w:t>p 61.</w:t>
      </w:r>
      <w:proofErr w:type="gramEnd"/>
      <w:r>
        <w:t xml:space="preserve"> </w:t>
      </w:r>
    </w:p>
  </w:footnote>
  <w:footnote w:id="87">
    <w:p w:rsidR="00C373AC" w:rsidRPr="0084277E"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_Ref490637000 \h </w:instrText>
      </w:r>
      <w:r>
        <w:fldChar w:fldCharType="separate"/>
      </w:r>
      <w:r>
        <w:t>22</w:t>
      </w:r>
      <w:r>
        <w:fldChar w:fldCharType="end"/>
      </w:r>
      <w:r>
        <w:t>, p 13.</w:t>
      </w:r>
      <w:proofErr w:type="gramEnd"/>
      <w:r>
        <w:t xml:space="preserve"> </w:t>
      </w:r>
    </w:p>
  </w:footnote>
  <w:footnote w:id="88">
    <w:p w:rsidR="00C373AC" w:rsidRPr="00C14DFE" w:rsidRDefault="00C373AC" w:rsidP="003F1450">
      <w:pPr>
        <w:pStyle w:val="FootnoteText"/>
      </w:pPr>
      <w:r>
        <w:rPr>
          <w:rStyle w:val="FootnoteReference"/>
        </w:rPr>
        <w:footnoteRef/>
      </w:r>
      <w:r>
        <w:t xml:space="preserve"> </w:t>
      </w:r>
      <w:proofErr w:type="gramStart"/>
      <w:r>
        <w:t>Above n 7, p 37.</w:t>
      </w:r>
      <w:proofErr w:type="gramEnd"/>
    </w:p>
  </w:footnote>
  <w:footnote w:id="89">
    <w:p w:rsidR="00C373AC" w:rsidRDefault="00C373AC">
      <w:pPr>
        <w:pStyle w:val="FootnoteText"/>
      </w:pPr>
      <w:r>
        <w:rPr>
          <w:rStyle w:val="FootnoteReference"/>
        </w:rPr>
        <w:footnoteRef/>
      </w:r>
      <w:r>
        <w:t xml:space="preserve"> Cynthia </w:t>
      </w:r>
      <w:proofErr w:type="spellStart"/>
      <w:r>
        <w:t>Embido</w:t>
      </w:r>
      <w:proofErr w:type="spellEnd"/>
      <w:r>
        <w:t xml:space="preserve"> </w:t>
      </w:r>
      <w:proofErr w:type="spellStart"/>
      <w:r>
        <w:t>Bejeno</w:t>
      </w:r>
      <w:proofErr w:type="spellEnd"/>
      <w:r>
        <w:t xml:space="preserve">, </w:t>
      </w:r>
      <w:r w:rsidRPr="00732EEC">
        <w:rPr>
          <w:i/>
        </w:rPr>
        <w:t>Land Reform Governance and the Filipino Peasant Women: Policy Changes, Impacts and Challenges</w:t>
      </w:r>
      <w:r>
        <w:t xml:space="preserve"> (March 2016) </w:t>
      </w:r>
      <w:proofErr w:type="gramStart"/>
      <w:r>
        <w:t>The</w:t>
      </w:r>
      <w:proofErr w:type="gramEnd"/>
      <w:r>
        <w:t xml:space="preserve"> World Bank, Washington DC, p 4.</w:t>
      </w:r>
    </w:p>
  </w:footnote>
  <w:footnote w:id="90">
    <w:p w:rsidR="00C373AC" w:rsidRDefault="00C373AC">
      <w:pPr>
        <w:pStyle w:val="FootnoteText"/>
      </w:pPr>
      <w:r>
        <w:rPr>
          <w:rStyle w:val="FootnoteReference"/>
        </w:rPr>
        <w:footnoteRef/>
      </w:r>
      <w:r>
        <w:t xml:space="preserve"> </w:t>
      </w:r>
      <w:proofErr w:type="gramStart"/>
      <w:r>
        <w:t>Article 147 of the Family Code.</w:t>
      </w:r>
      <w:proofErr w:type="gramEnd"/>
    </w:p>
  </w:footnote>
  <w:footnote w:id="91">
    <w:p w:rsidR="00C373AC" w:rsidRDefault="00C373AC">
      <w:pPr>
        <w:pStyle w:val="FootnoteText"/>
      </w:pPr>
      <w:r>
        <w:rPr>
          <w:rStyle w:val="FootnoteReference"/>
        </w:rPr>
        <w:footnoteRef/>
      </w:r>
      <w:r>
        <w:t xml:space="preserve"> </w:t>
      </w:r>
      <w:proofErr w:type="gramStart"/>
      <w:r>
        <w:t>Article 75 of the Family Code.</w:t>
      </w:r>
      <w:proofErr w:type="gramEnd"/>
    </w:p>
  </w:footnote>
  <w:footnote w:id="92">
    <w:p w:rsidR="00C373AC" w:rsidRDefault="00C373AC">
      <w:pPr>
        <w:pStyle w:val="FootnoteText"/>
      </w:pPr>
      <w:r>
        <w:rPr>
          <w:rStyle w:val="FootnoteReference"/>
        </w:rPr>
        <w:footnoteRef/>
      </w:r>
      <w:r>
        <w:t xml:space="preserve"> </w:t>
      </w:r>
      <w:r>
        <w:rPr>
          <w:lang w:val="en-US"/>
        </w:rPr>
        <w:t xml:space="preserve">US Aid, </w:t>
      </w:r>
      <w:r>
        <w:rPr>
          <w:i/>
          <w:lang w:val="en-US"/>
        </w:rPr>
        <w:t>Country Profile: Property Rights and Resource Governance: Philippines</w:t>
      </w:r>
      <w:r>
        <w:rPr>
          <w:lang w:val="en-US"/>
        </w:rPr>
        <w:t xml:space="preserve">, 8, citing </w:t>
      </w:r>
      <w:r>
        <w:rPr>
          <w:rStyle w:val="FooterChar"/>
        </w:rPr>
        <w:t>Lorenzo Cotula,</w:t>
      </w:r>
      <w:r w:rsidRPr="00C532F8">
        <w:rPr>
          <w:rStyle w:val="FooterChar"/>
        </w:rPr>
        <w:t xml:space="preserve"> </w:t>
      </w:r>
      <w:r w:rsidRPr="00C532F8">
        <w:rPr>
          <w:rStyle w:val="FooterChar"/>
          <w:i/>
        </w:rPr>
        <w:t>Gender and Law-Women‘s Rights in Agriculture</w:t>
      </w:r>
      <w:r w:rsidRPr="00C532F8">
        <w:rPr>
          <w:rStyle w:val="FooterChar"/>
        </w:rPr>
        <w:t xml:space="preserve"> </w:t>
      </w:r>
      <w:r>
        <w:rPr>
          <w:rStyle w:val="FooterChar"/>
        </w:rPr>
        <w:t>(</w:t>
      </w:r>
      <w:r w:rsidRPr="00C532F8">
        <w:rPr>
          <w:rStyle w:val="FooterChar"/>
        </w:rPr>
        <w:t>FAO Legislative Study 76</w:t>
      </w:r>
      <w:r>
        <w:rPr>
          <w:rStyle w:val="FooterChar"/>
        </w:rPr>
        <w:t>, Revised Version, 2007), accessed 22 January 2018 &lt;</w:t>
      </w:r>
      <w:r w:rsidRPr="008D0015">
        <w:rPr>
          <w:noProof/>
        </w:rPr>
        <w:t>http://www.fao.org/docrep/005/y4311e/y4311e00.htm</w:t>
      </w:r>
      <w:r>
        <w:rPr>
          <w:rStyle w:val="FooterChar"/>
        </w:rPr>
        <w:t>&gt;.</w:t>
      </w:r>
    </w:p>
  </w:footnote>
  <w:footnote w:id="93">
    <w:p w:rsidR="00C373AC" w:rsidRDefault="00C373AC">
      <w:pPr>
        <w:pStyle w:val="FootnoteText"/>
      </w:pPr>
      <w:r>
        <w:rPr>
          <w:rStyle w:val="FootnoteReference"/>
        </w:rPr>
        <w:footnoteRef/>
      </w:r>
      <w:r>
        <w:t xml:space="preserve"> </w:t>
      </w:r>
      <w:proofErr w:type="gramStart"/>
      <w:r>
        <w:t>Articles 802 &amp; 803 of the Civil Code.</w:t>
      </w:r>
      <w:proofErr w:type="gramEnd"/>
      <w:r>
        <w:t xml:space="preserve"> </w:t>
      </w:r>
    </w:p>
  </w:footnote>
  <w:footnote w:id="94">
    <w:p w:rsidR="00C373AC" w:rsidRPr="00C532F8" w:rsidRDefault="00C373AC" w:rsidP="007864D2">
      <w:pPr>
        <w:pStyle w:val="FootnoteText"/>
        <w:rPr>
          <w:lang w:val="en-US"/>
        </w:rPr>
      </w:pPr>
      <w:r>
        <w:rPr>
          <w:rStyle w:val="FootnoteReference"/>
        </w:rPr>
        <w:footnoteRef/>
      </w:r>
      <w:r>
        <w:t xml:space="preserve"> </w:t>
      </w:r>
      <w:proofErr w:type="gramStart"/>
      <w:r>
        <w:t xml:space="preserve">Above n </w:t>
      </w:r>
      <w:r>
        <w:fldChar w:fldCharType="begin"/>
      </w:r>
      <w:r>
        <w:instrText xml:space="preserve"> NOTEREF _Ref490637637 \h </w:instrText>
      </w:r>
      <w:r>
        <w:fldChar w:fldCharType="separate"/>
      </w:r>
      <w:r>
        <w:t>92</w:t>
      </w:r>
      <w:r>
        <w:fldChar w:fldCharType="end"/>
      </w:r>
      <w:r>
        <w:t>.</w:t>
      </w:r>
      <w:proofErr w:type="gramEnd"/>
      <w:r>
        <w:t xml:space="preserve"> </w:t>
      </w:r>
    </w:p>
  </w:footnote>
  <w:footnote w:id="95">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_Ref490637665 \h </w:instrText>
      </w:r>
      <w:r>
        <w:fldChar w:fldCharType="separate"/>
      </w:r>
      <w:r>
        <w:t>88</w:t>
      </w:r>
      <w:r>
        <w:fldChar w:fldCharType="end"/>
      </w:r>
      <w:r>
        <w:t>, p 16.</w:t>
      </w:r>
      <w:proofErr w:type="gramEnd"/>
    </w:p>
  </w:footnote>
  <w:footnote w:id="96">
    <w:p w:rsidR="00C373AC" w:rsidRDefault="00C373AC">
      <w:pPr>
        <w:pStyle w:val="FootnoteText"/>
      </w:pPr>
      <w:r>
        <w:rPr>
          <w:rStyle w:val="FootnoteReference"/>
        </w:rPr>
        <w:footnoteRef/>
      </w:r>
      <w:r>
        <w:t xml:space="preserve"> </w:t>
      </w:r>
      <w:proofErr w:type="gramStart"/>
      <w:r>
        <w:t>Ibid p 37.</w:t>
      </w:r>
      <w:proofErr w:type="gramEnd"/>
      <w:r>
        <w:t xml:space="preserve"> </w:t>
      </w:r>
    </w:p>
  </w:footnote>
  <w:footnote w:id="97">
    <w:p w:rsidR="00C373AC" w:rsidRDefault="00C373AC">
      <w:pPr>
        <w:pStyle w:val="FootnoteText"/>
      </w:pPr>
      <w:r>
        <w:rPr>
          <w:rStyle w:val="FootnoteReference"/>
        </w:rPr>
        <w:footnoteRef/>
      </w:r>
      <w:r>
        <w:t xml:space="preserve"> </w:t>
      </w:r>
      <w:proofErr w:type="gramStart"/>
      <w:r>
        <w:t>Ibid p 37.</w:t>
      </w:r>
      <w:proofErr w:type="gramEnd"/>
    </w:p>
  </w:footnote>
  <w:footnote w:id="98">
    <w:p w:rsidR="00C373AC" w:rsidRDefault="00C373AC">
      <w:pPr>
        <w:pStyle w:val="FootnoteText"/>
      </w:pPr>
      <w:r>
        <w:rPr>
          <w:rStyle w:val="FootnoteReference"/>
        </w:rPr>
        <w:footnoteRef/>
      </w:r>
      <w:r>
        <w:t xml:space="preserve"> Violeta P Corral, </w:t>
      </w:r>
      <w:r w:rsidRPr="00732EEC">
        <w:rPr>
          <w:i/>
        </w:rPr>
        <w:t>Paper: Analysis of Land Tools in the Philippines Using Gender Evaluation Criteria</w:t>
      </w:r>
      <w:r w:rsidRPr="00732EEC">
        <w:t>,</w:t>
      </w:r>
      <w:r>
        <w:t xml:space="preserve"> June 2015 (prepared for 2015 World Bank Conference on Land and Poverty), accessed 22 January 2018 &lt;</w:t>
      </w:r>
      <w:r w:rsidRPr="008D0015">
        <w:t>http://asianfarmers.org/paper-analysis-of-land-tools-in-the-philippines-using-gender-evaluation-criteria/</w:t>
      </w:r>
      <w:r>
        <w:t>&gt;.</w:t>
      </w:r>
    </w:p>
  </w:footnote>
  <w:footnote w:id="99">
    <w:p w:rsidR="00C373AC" w:rsidRPr="00255836" w:rsidRDefault="00C373AC" w:rsidP="00DA2D81">
      <w:pPr>
        <w:pStyle w:val="FootnoteText"/>
        <w:rPr>
          <w:lang w:val="en-US"/>
        </w:rPr>
      </w:pPr>
      <w:r>
        <w:rPr>
          <w:rStyle w:val="FootnoteReference"/>
        </w:rPr>
        <w:footnoteRef/>
      </w:r>
      <w:r>
        <w:t xml:space="preserve"> Food and Agriculture Organisation of the UN, </w:t>
      </w:r>
      <w:r w:rsidRPr="00732EEC">
        <w:rPr>
          <w:i/>
        </w:rPr>
        <w:t>Women's Rights to Land and other Natural Resources</w:t>
      </w:r>
      <w:r>
        <w:t>, accessed 22 January 2018 &lt;</w:t>
      </w:r>
      <w:r w:rsidRPr="008D0015">
        <w:t>http://www.fao.org/docrep/005/y4311e/y4311e04.htm</w:t>
      </w:r>
      <w:r>
        <w:t>&gt;.</w:t>
      </w:r>
    </w:p>
  </w:footnote>
  <w:footnote w:id="100">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_Ref490637000 \h </w:instrText>
      </w:r>
      <w:r>
        <w:fldChar w:fldCharType="separate"/>
      </w:r>
      <w:r>
        <w:t>22</w:t>
      </w:r>
      <w:r>
        <w:fldChar w:fldCharType="end"/>
      </w:r>
      <w:r>
        <w:t>,</w:t>
      </w:r>
      <w:r w:rsidRPr="00C14DFE">
        <w:t xml:space="preserve"> </w:t>
      </w:r>
      <w:r>
        <w:t>p 20.</w:t>
      </w:r>
      <w:proofErr w:type="gramEnd"/>
      <w:r>
        <w:t xml:space="preserve"> </w:t>
      </w:r>
    </w:p>
  </w:footnote>
  <w:footnote w:id="101">
    <w:p w:rsidR="00C373AC" w:rsidRDefault="00C373AC">
      <w:pPr>
        <w:pStyle w:val="FootnoteText"/>
      </w:pPr>
      <w:r>
        <w:rPr>
          <w:rStyle w:val="FootnoteReference"/>
        </w:rPr>
        <w:footnoteRef/>
      </w:r>
      <w:r>
        <w:t xml:space="preserve"> </w:t>
      </w:r>
      <w:proofErr w:type="gramStart"/>
      <w:r>
        <w:t xml:space="preserve">Section 20 of the </w:t>
      </w:r>
      <w:r w:rsidRPr="005925C1">
        <w:rPr>
          <w:i/>
        </w:rPr>
        <w:t>Magna Carta for Women</w:t>
      </w:r>
      <w:r>
        <w:t xml:space="preserve"> </w:t>
      </w:r>
      <w:r w:rsidRPr="005925C1">
        <w:rPr>
          <w:i/>
        </w:rPr>
        <w:t>2009</w:t>
      </w:r>
      <w:r>
        <w:t xml:space="preserve"> (Republic Act 9710).</w:t>
      </w:r>
      <w:proofErr w:type="gramEnd"/>
    </w:p>
  </w:footnote>
  <w:footnote w:id="102">
    <w:p w:rsidR="00C373AC" w:rsidRDefault="00C373AC">
      <w:pPr>
        <w:pStyle w:val="FootnoteText"/>
      </w:pPr>
      <w:r>
        <w:rPr>
          <w:rStyle w:val="FootnoteReference"/>
        </w:rPr>
        <w:footnoteRef/>
      </w:r>
      <w:r>
        <w:t xml:space="preserve"> Section 20(b</w:t>
      </w:r>
      <w:proofErr w:type="gramStart"/>
      <w:r>
        <w:t>)(</w:t>
      </w:r>
      <w:proofErr w:type="gramEnd"/>
      <w:r>
        <w:t xml:space="preserve">1) of the </w:t>
      </w:r>
      <w:r w:rsidRPr="005925C1">
        <w:rPr>
          <w:i/>
        </w:rPr>
        <w:t>Magna Carta for Women</w:t>
      </w:r>
      <w:r>
        <w:rPr>
          <w:i/>
        </w:rPr>
        <w:t xml:space="preserve"> 2009</w:t>
      </w:r>
      <w:r>
        <w:t xml:space="preserve"> (Republic Act 9710).</w:t>
      </w:r>
    </w:p>
  </w:footnote>
  <w:footnote w:id="103">
    <w:p w:rsidR="00C373AC" w:rsidRPr="00BA702D" w:rsidRDefault="00C373AC">
      <w:pPr>
        <w:pStyle w:val="FootnoteText"/>
      </w:pPr>
      <w:r w:rsidRPr="00BA702D">
        <w:rPr>
          <w:rStyle w:val="FootnoteReference"/>
        </w:rPr>
        <w:footnoteRef/>
      </w:r>
      <w:r w:rsidRPr="00BA702D">
        <w:t xml:space="preserve"> Section 20(b</w:t>
      </w:r>
      <w:proofErr w:type="gramStart"/>
      <w:r w:rsidRPr="00BA702D">
        <w:t>)(</w:t>
      </w:r>
      <w:proofErr w:type="gramEnd"/>
      <w:r w:rsidRPr="00BA702D">
        <w:t xml:space="preserve">2) </w:t>
      </w:r>
      <w:r>
        <w:t xml:space="preserve">of the </w:t>
      </w:r>
      <w:r w:rsidRPr="005925C1">
        <w:rPr>
          <w:i/>
        </w:rPr>
        <w:t>Magna Carta for Women</w:t>
      </w:r>
      <w:r>
        <w:rPr>
          <w:i/>
        </w:rPr>
        <w:t xml:space="preserve"> 2009</w:t>
      </w:r>
      <w:r w:rsidRPr="00BA702D">
        <w:t xml:space="preserve"> (R</w:t>
      </w:r>
      <w:r>
        <w:t xml:space="preserve">epublic </w:t>
      </w:r>
      <w:r w:rsidRPr="00BA702D">
        <w:t>A</w:t>
      </w:r>
      <w:r>
        <w:t>ct</w:t>
      </w:r>
      <w:r w:rsidRPr="00BA702D">
        <w:t xml:space="preserve"> 9</w:t>
      </w:r>
      <w:r>
        <w:t>7</w:t>
      </w:r>
      <w:r w:rsidRPr="00BA702D">
        <w:t>10)</w:t>
      </w:r>
      <w:r>
        <w:t>.</w:t>
      </w:r>
      <w:r w:rsidRPr="00BA702D">
        <w:t xml:space="preserve"> </w:t>
      </w:r>
    </w:p>
  </w:footnote>
  <w:footnote w:id="104">
    <w:p w:rsidR="00C373AC" w:rsidRPr="00BA702D" w:rsidRDefault="00C373AC">
      <w:pPr>
        <w:pStyle w:val="FootnoteText"/>
      </w:pPr>
      <w:r w:rsidRPr="00BA702D">
        <w:rPr>
          <w:rStyle w:val="FootnoteReference"/>
        </w:rPr>
        <w:footnoteRef/>
      </w:r>
      <w:r w:rsidRPr="00BA702D">
        <w:t xml:space="preserve"> </w:t>
      </w:r>
      <w:proofErr w:type="gramStart"/>
      <w:r w:rsidRPr="00BA702D">
        <w:t xml:space="preserve">Section 2(e) </w:t>
      </w:r>
      <w:r>
        <w:t xml:space="preserve">of the </w:t>
      </w:r>
      <w:r w:rsidRPr="005925C1">
        <w:rPr>
          <w:i/>
        </w:rPr>
        <w:t>Fisheries Code 19</w:t>
      </w:r>
      <w:r>
        <w:rPr>
          <w:i/>
        </w:rPr>
        <w:t>9</w:t>
      </w:r>
      <w:r w:rsidRPr="005925C1">
        <w:rPr>
          <w:i/>
        </w:rPr>
        <w:t>8</w:t>
      </w:r>
      <w:r w:rsidRPr="00BA702D">
        <w:t xml:space="preserve"> (R</w:t>
      </w:r>
      <w:r>
        <w:t xml:space="preserve">epublic </w:t>
      </w:r>
      <w:r w:rsidRPr="00BA702D">
        <w:t>A</w:t>
      </w:r>
      <w:r>
        <w:t>ct</w:t>
      </w:r>
      <w:r w:rsidRPr="00BA702D">
        <w:t xml:space="preserve"> 8550)</w:t>
      </w:r>
      <w:r>
        <w:t>.</w:t>
      </w:r>
      <w:proofErr w:type="gramEnd"/>
    </w:p>
  </w:footnote>
  <w:footnote w:id="105">
    <w:p w:rsidR="00C373AC" w:rsidRPr="00BA702D" w:rsidRDefault="00C373AC" w:rsidP="00755333">
      <w:pPr>
        <w:pStyle w:val="FootnoteText"/>
        <w:rPr>
          <w:lang w:val="en-US"/>
        </w:rPr>
      </w:pPr>
      <w:r w:rsidRPr="00BA702D">
        <w:rPr>
          <w:rStyle w:val="FootnoteReference"/>
        </w:rPr>
        <w:footnoteRef/>
      </w:r>
      <w:r w:rsidRPr="00BA702D">
        <w:t xml:space="preserve"> </w:t>
      </w:r>
      <w:proofErr w:type="gramStart"/>
      <w:r>
        <w:t xml:space="preserve">Section 3 of </w:t>
      </w:r>
      <w:r>
        <w:rPr>
          <w:lang w:val="en-US"/>
        </w:rPr>
        <w:t>IPRA.</w:t>
      </w:r>
      <w:proofErr w:type="gramEnd"/>
    </w:p>
  </w:footnote>
  <w:footnote w:id="106">
    <w:p w:rsidR="00C373AC" w:rsidRPr="00A9549F" w:rsidRDefault="00C373AC" w:rsidP="00755333">
      <w:pPr>
        <w:pStyle w:val="FootnoteText"/>
        <w:rPr>
          <w:lang w:val="en-US"/>
        </w:rPr>
      </w:pPr>
      <w:r w:rsidRPr="00BA702D">
        <w:rPr>
          <w:rStyle w:val="FootnoteReference"/>
        </w:rPr>
        <w:footnoteRef/>
      </w:r>
      <w:r w:rsidRPr="00BA702D">
        <w:t xml:space="preserve"> </w:t>
      </w:r>
      <w:r>
        <w:rPr>
          <w:lang w:val="en-US"/>
        </w:rPr>
        <w:t>Ibid.</w:t>
      </w:r>
    </w:p>
  </w:footnote>
  <w:footnote w:id="107">
    <w:p w:rsidR="00C373AC" w:rsidRDefault="00C373AC" w:rsidP="00755333">
      <w:r w:rsidRPr="00AD5D4A">
        <w:rPr>
          <w:rStyle w:val="FootnoteReference"/>
          <w:sz w:val="16"/>
          <w:szCs w:val="16"/>
        </w:rPr>
        <w:footnoteRef/>
      </w:r>
      <w:r w:rsidRPr="00AD5D4A">
        <w:rPr>
          <w:sz w:val="16"/>
          <w:szCs w:val="16"/>
        </w:rPr>
        <w:t xml:space="preserve"> </w:t>
      </w:r>
      <w:r>
        <w:rPr>
          <w:rStyle w:val="FooterChar"/>
        </w:rPr>
        <w:t xml:space="preserve">Above n </w:t>
      </w:r>
      <w:r>
        <w:rPr>
          <w:rStyle w:val="FooterChar"/>
        </w:rPr>
        <w:fldChar w:fldCharType="begin"/>
      </w:r>
      <w:r>
        <w:rPr>
          <w:rStyle w:val="FooterChar"/>
        </w:rPr>
        <w:instrText xml:space="preserve"> NOTEREF _Ref504462736 \h </w:instrText>
      </w:r>
      <w:r>
        <w:rPr>
          <w:rStyle w:val="FooterChar"/>
        </w:rPr>
      </w:r>
      <w:r>
        <w:rPr>
          <w:rStyle w:val="FooterChar"/>
        </w:rPr>
        <w:fldChar w:fldCharType="separate"/>
      </w:r>
      <w:r>
        <w:rPr>
          <w:rStyle w:val="FooterChar"/>
        </w:rPr>
        <w:t>71</w:t>
      </w:r>
      <w:r>
        <w:rPr>
          <w:rStyle w:val="FooterChar"/>
        </w:rPr>
        <w:fldChar w:fldCharType="end"/>
      </w:r>
      <w:r>
        <w:rPr>
          <w:rStyle w:val="FooterChar"/>
        </w:rPr>
        <w:t>.</w:t>
      </w:r>
    </w:p>
  </w:footnote>
  <w:footnote w:id="108">
    <w:p w:rsidR="00C373AC" w:rsidRDefault="00C373AC" w:rsidP="00755333">
      <w:bookmarkStart w:id="49" w:name="_Ref490637258"/>
      <w:r>
        <w:rPr>
          <w:rStyle w:val="FootnoteReference"/>
        </w:rPr>
        <w:footnoteRef/>
      </w:r>
      <w:r>
        <w:t xml:space="preserve"> </w:t>
      </w:r>
      <w:bookmarkEnd w:id="49"/>
      <w:r>
        <w:rPr>
          <w:rStyle w:val="FooterChar"/>
        </w:rPr>
        <w:t xml:space="preserve">Above n </w:t>
      </w:r>
      <w:r>
        <w:rPr>
          <w:rStyle w:val="FooterChar"/>
        </w:rPr>
        <w:fldChar w:fldCharType="begin"/>
      </w:r>
      <w:r>
        <w:rPr>
          <w:rStyle w:val="FooterChar"/>
        </w:rPr>
        <w:instrText xml:space="preserve"> NOTEREF _Ref504462767 \h </w:instrText>
      </w:r>
      <w:r>
        <w:rPr>
          <w:rStyle w:val="FooterChar"/>
        </w:rPr>
      </w:r>
      <w:r>
        <w:rPr>
          <w:rStyle w:val="FooterChar"/>
        </w:rPr>
        <w:fldChar w:fldCharType="separate"/>
      </w:r>
      <w:r>
        <w:rPr>
          <w:rStyle w:val="FooterChar"/>
        </w:rPr>
        <w:t>33</w:t>
      </w:r>
      <w:r>
        <w:rPr>
          <w:rStyle w:val="FooterChar"/>
        </w:rPr>
        <w:fldChar w:fldCharType="end"/>
      </w:r>
      <w:r>
        <w:rPr>
          <w:rStyle w:val="FooterChar"/>
        </w:rPr>
        <w:t>, p 14.</w:t>
      </w:r>
    </w:p>
  </w:footnote>
  <w:footnote w:id="109">
    <w:p w:rsidR="00C373AC" w:rsidRDefault="00C373AC" w:rsidP="00755333">
      <w:pPr>
        <w:pStyle w:val="FootnoteText"/>
      </w:pPr>
      <w:r>
        <w:rPr>
          <w:rStyle w:val="FootnoteReference"/>
        </w:rPr>
        <w:footnoteRef/>
      </w:r>
      <w:r>
        <w:t xml:space="preserve"> </w:t>
      </w:r>
      <w:proofErr w:type="gramStart"/>
      <w:r w:rsidRPr="003C2CEE">
        <w:rPr>
          <w:rStyle w:val="FooterChar"/>
        </w:rPr>
        <w:t xml:space="preserve">Luong Thi </w:t>
      </w:r>
      <w:r>
        <w:rPr>
          <w:rStyle w:val="FooterChar"/>
        </w:rPr>
        <w:t xml:space="preserve">Truong and Orlando M Genotiva, </w:t>
      </w:r>
      <w:r w:rsidRPr="00B2375B">
        <w:rPr>
          <w:rStyle w:val="FooterChar"/>
          <w:i/>
        </w:rPr>
        <w:t>R</w:t>
      </w:r>
      <w:r w:rsidRPr="00732EEC">
        <w:rPr>
          <w:rStyle w:val="FooterChar"/>
          <w:i/>
        </w:rPr>
        <w:t xml:space="preserve">ecognizing Ethnic Minority Customary Land Rights in Vietnam and the Philippines </w:t>
      </w:r>
      <w:r w:rsidRPr="003C2CEE">
        <w:rPr>
          <w:rStyle w:val="FooterChar"/>
        </w:rPr>
        <w:t>(Centre of People and Forests / Economic and Social Research Counci</w:t>
      </w:r>
      <w:r>
        <w:rPr>
          <w:rStyle w:val="FooterChar"/>
        </w:rPr>
        <w:t xml:space="preserve">l, 2010) </w:t>
      </w:r>
      <w:r w:rsidRPr="008D0015">
        <w:rPr>
          <w:rStyle w:val="FooterChar"/>
          <w:color w:val="000000" w:themeColor="text1"/>
        </w:rPr>
        <w:t>&lt;</w:t>
      </w:r>
      <w:hyperlink r:id="rId1" w:history="1">
        <w:r w:rsidRPr="008D0015">
          <w:rPr>
            <w:rStyle w:val="FooterChar"/>
            <w:color w:val="000000" w:themeColor="text1"/>
          </w:rPr>
          <w:t>http://recoftc2.dev.dotography.net/sites/default/files/old/uploads/wysiwyg/docs/Vietnam_Briefs_Eng_PDF/RECOFTC_21July10_B5_web.pdf</w:t>
        </w:r>
      </w:hyperlink>
      <w:r w:rsidRPr="008D0015">
        <w:rPr>
          <w:rStyle w:val="FooterChar"/>
          <w:color w:val="000000" w:themeColor="text1"/>
        </w:rPr>
        <w:t>&gt;.</w:t>
      </w:r>
      <w:proofErr w:type="gramEnd"/>
    </w:p>
  </w:footnote>
  <w:footnote w:id="110">
    <w:p w:rsidR="00C373AC" w:rsidRPr="003C2CEE" w:rsidRDefault="00C373AC" w:rsidP="00755333">
      <w:pPr>
        <w:pStyle w:val="FootnoteText"/>
        <w:rPr>
          <w:lang w:val="en-US"/>
        </w:rPr>
      </w:pPr>
      <w:r>
        <w:rPr>
          <w:rStyle w:val="FootnoteReference"/>
        </w:rPr>
        <w:footnoteRef/>
      </w:r>
      <w:r>
        <w:t xml:space="preserve"> </w:t>
      </w:r>
      <w:r>
        <w:rPr>
          <w:rStyle w:val="FooterChar"/>
        </w:rPr>
        <w:t xml:space="preserve">Above n </w:t>
      </w:r>
      <w:r>
        <w:rPr>
          <w:rStyle w:val="FooterChar"/>
        </w:rPr>
        <w:fldChar w:fldCharType="begin"/>
      </w:r>
      <w:r>
        <w:rPr>
          <w:rStyle w:val="FooterChar"/>
        </w:rPr>
        <w:instrText xml:space="preserve"> PAGEREF _Ref490637258 \h </w:instrText>
      </w:r>
      <w:r>
        <w:rPr>
          <w:rStyle w:val="FooterChar"/>
        </w:rPr>
      </w:r>
      <w:r>
        <w:rPr>
          <w:rStyle w:val="FooterChar"/>
        </w:rPr>
        <w:fldChar w:fldCharType="separate"/>
      </w:r>
      <w:r>
        <w:rPr>
          <w:rStyle w:val="FooterChar"/>
        </w:rPr>
        <w:t>21</w:t>
      </w:r>
      <w:r>
        <w:rPr>
          <w:rStyle w:val="FooterChar"/>
        </w:rPr>
        <w:fldChar w:fldCharType="end"/>
      </w:r>
      <w:r>
        <w:rPr>
          <w:rStyle w:val="FooterChar"/>
        </w:rPr>
        <w:t>, p 22</w:t>
      </w:r>
      <w:r w:rsidRPr="003C2CEE">
        <w:rPr>
          <w:rStyle w:val="FooterChar"/>
        </w:rPr>
        <w:t>.</w:t>
      </w:r>
    </w:p>
  </w:footnote>
  <w:footnote w:id="111">
    <w:p w:rsidR="00C373AC" w:rsidRPr="003C2CEE" w:rsidRDefault="00C373AC" w:rsidP="00755333">
      <w:pPr>
        <w:pStyle w:val="FootnoteText"/>
        <w:rPr>
          <w:lang w:val="en-US"/>
        </w:rPr>
      </w:pPr>
      <w:r>
        <w:rPr>
          <w:rStyle w:val="FootnoteReference"/>
        </w:rPr>
        <w:footnoteRef/>
      </w:r>
      <w:r>
        <w:t xml:space="preserve"> </w:t>
      </w:r>
      <w:r>
        <w:rPr>
          <w:rStyle w:val="FooterChar"/>
        </w:rPr>
        <w:t>Ibid p 22</w:t>
      </w:r>
      <w:r w:rsidRPr="003C2CEE">
        <w:rPr>
          <w:rStyle w:val="FooterChar"/>
        </w:rPr>
        <w:t>.</w:t>
      </w:r>
    </w:p>
  </w:footnote>
  <w:footnote w:id="112">
    <w:p w:rsidR="00C373AC" w:rsidRPr="00BA702D" w:rsidRDefault="00C373AC" w:rsidP="003552F7">
      <w:pPr>
        <w:pStyle w:val="FootnoteText"/>
        <w:rPr>
          <w:lang w:val="en-US"/>
        </w:rPr>
      </w:pPr>
      <w:r w:rsidRPr="00BA702D">
        <w:rPr>
          <w:rStyle w:val="FootnoteReference"/>
        </w:rPr>
        <w:footnoteRef/>
      </w:r>
      <w:r>
        <w:t xml:space="preserve"> </w:t>
      </w:r>
      <w:proofErr w:type="gramStart"/>
      <w:r>
        <w:t xml:space="preserve">Section 2 of </w:t>
      </w:r>
      <w:r>
        <w:rPr>
          <w:rFonts w:eastAsiaTheme="minorHAnsi"/>
          <w:lang w:eastAsia="en-US"/>
        </w:rPr>
        <w:t>IPRA.</w:t>
      </w:r>
      <w:proofErr w:type="gramEnd"/>
    </w:p>
  </w:footnote>
  <w:footnote w:id="113">
    <w:p w:rsidR="00C373AC" w:rsidRPr="00BA702D" w:rsidRDefault="00C373AC" w:rsidP="003552F7">
      <w:pPr>
        <w:pStyle w:val="FootnoteText"/>
        <w:rPr>
          <w:lang w:val="en-US"/>
        </w:rPr>
      </w:pPr>
      <w:r w:rsidRPr="00BA702D">
        <w:rPr>
          <w:rStyle w:val="FootnoteReference"/>
        </w:rPr>
        <w:footnoteRef/>
      </w:r>
      <w:r w:rsidRPr="00BA702D">
        <w:t xml:space="preserve"> </w:t>
      </w:r>
      <w:proofErr w:type="gramStart"/>
      <w:r>
        <w:t>Section 13 of I</w:t>
      </w:r>
      <w:r>
        <w:rPr>
          <w:rFonts w:eastAsiaTheme="minorHAnsi"/>
        </w:rPr>
        <w:t>PRA.</w:t>
      </w:r>
      <w:proofErr w:type="gramEnd"/>
    </w:p>
  </w:footnote>
  <w:footnote w:id="114">
    <w:p w:rsidR="00C373AC" w:rsidRPr="00BA702D" w:rsidRDefault="00C373AC" w:rsidP="003552F7">
      <w:pPr>
        <w:pStyle w:val="FootnoteText"/>
        <w:rPr>
          <w:lang w:val="en-US"/>
        </w:rPr>
      </w:pPr>
      <w:r w:rsidRPr="00BA702D">
        <w:rPr>
          <w:rStyle w:val="FootnoteReference"/>
        </w:rPr>
        <w:footnoteRef/>
      </w:r>
      <w:r w:rsidRPr="00BA702D">
        <w:t xml:space="preserve"> </w:t>
      </w:r>
      <w:proofErr w:type="gramStart"/>
      <w:r>
        <w:t xml:space="preserve">Section 22 of </w:t>
      </w:r>
      <w:r>
        <w:rPr>
          <w:rFonts w:eastAsiaTheme="minorHAnsi"/>
          <w:lang w:eastAsia="en-US"/>
        </w:rPr>
        <w:t>IPRA.</w:t>
      </w:r>
      <w:proofErr w:type="gramEnd"/>
    </w:p>
  </w:footnote>
  <w:footnote w:id="115">
    <w:p w:rsidR="00C373AC" w:rsidRDefault="00C373AC">
      <w:pPr>
        <w:pStyle w:val="FootnoteText"/>
      </w:pPr>
      <w:r>
        <w:rPr>
          <w:rStyle w:val="FootnoteReference"/>
        </w:rPr>
        <w:footnoteRef/>
      </w:r>
      <w:r>
        <w:t xml:space="preserve"> </w:t>
      </w:r>
      <w:r w:rsidRPr="00035187">
        <w:rPr>
          <w:rFonts w:eastAsiaTheme="minorHAnsi"/>
          <w:lang w:eastAsia="en-US"/>
        </w:rPr>
        <w:t>Ancestral domains are 'areas generally belonging to ICCs/IPs … held under a claim of ownership, occupied or possessed by ICCs/IPs' and held 'communally or individually since time immemorial, continuously to the present' except when interrupted by certain factors such as war, displacement or deceit</w:t>
      </w:r>
      <w:r>
        <w:rPr>
          <w:rFonts w:eastAsiaTheme="minorHAnsi"/>
          <w:lang w:eastAsia="en-US"/>
        </w:rPr>
        <w:t>: see section 3 of IPRA.</w:t>
      </w:r>
    </w:p>
  </w:footnote>
  <w:footnote w:id="116">
    <w:p w:rsidR="00C373AC" w:rsidRDefault="00C373AC">
      <w:pPr>
        <w:pStyle w:val="FootnoteText"/>
      </w:pPr>
      <w:r>
        <w:rPr>
          <w:rStyle w:val="FootnoteReference"/>
        </w:rPr>
        <w:footnoteRef/>
      </w:r>
      <w:r>
        <w:t xml:space="preserve"> </w:t>
      </w:r>
      <w:r w:rsidRPr="00035187">
        <w:rPr>
          <w:rFonts w:eastAsiaTheme="minorHAnsi"/>
          <w:lang w:eastAsia="en-US"/>
        </w:rPr>
        <w:t>Ancestral lands are lands 'occupied, possessed and utilized by individuals, families and clans who are members of the ICCs/IPs since time immemorial, by themselves or through their predecessors-in-interest, under claims of individual or traditional group ownership</w:t>
      </w:r>
      <w:r>
        <w:rPr>
          <w:rFonts w:eastAsiaTheme="minorHAnsi"/>
          <w:lang w:eastAsia="en-US"/>
        </w:rPr>
        <w:t xml:space="preserve">, </w:t>
      </w:r>
      <w:r w:rsidRPr="00035187">
        <w:rPr>
          <w:rFonts w:eastAsiaTheme="minorHAnsi"/>
          <w:lang w:eastAsia="en-US"/>
        </w:rPr>
        <w:t>continuously, to the present except when interrupted by certain factors'</w:t>
      </w:r>
      <w:r>
        <w:rPr>
          <w:rFonts w:eastAsiaTheme="minorHAnsi"/>
          <w:lang w:eastAsia="en-US"/>
        </w:rPr>
        <w:t xml:space="preserve">: see section 3 of IPRA. </w:t>
      </w:r>
      <w:r w:rsidRPr="00035187">
        <w:rPr>
          <w:rFonts w:eastAsiaTheme="minorHAnsi"/>
          <w:lang w:eastAsia="en-US"/>
        </w:rPr>
        <w:t>Furthermore, ancestral lands and domains include the 'total' environment, including spiritual and cultural bonds to areas</w:t>
      </w:r>
      <w:r>
        <w:rPr>
          <w:rFonts w:eastAsiaTheme="minorHAnsi"/>
          <w:lang w:eastAsia="en-US"/>
        </w:rPr>
        <w:t>: see section 4 of IPRA.</w:t>
      </w:r>
    </w:p>
  </w:footnote>
  <w:footnote w:id="117">
    <w:p w:rsidR="00C373AC" w:rsidRPr="00BA702D" w:rsidRDefault="00C373AC" w:rsidP="00C52522">
      <w:pPr>
        <w:pStyle w:val="FootnoteText"/>
        <w:rPr>
          <w:lang w:val="en-US"/>
        </w:rPr>
      </w:pPr>
      <w:r w:rsidRPr="00BA702D">
        <w:rPr>
          <w:rStyle w:val="FootnoteReference"/>
        </w:rPr>
        <w:footnoteRef/>
      </w:r>
      <w:r w:rsidRPr="00BA702D">
        <w:t xml:space="preserve"> </w:t>
      </w:r>
      <w:proofErr w:type="gramStart"/>
      <w:r>
        <w:t xml:space="preserve">Section 7 of </w:t>
      </w:r>
      <w:r>
        <w:rPr>
          <w:rFonts w:eastAsiaTheme="minorHAnsi"/>
          <w:lang w:eastAsia="en-US"/>
        </w:rPr>
        <w:t>IPRA.</w:t>
      </w:r>
      <w:proofErr w:type="gramEnd"/>
    </w:p>
  </w:footnote>
  <w:footnote w:id="118">
    <w:p w:rsidR="00C373AC" w:rsidRPr="00BA702D" w:rsidRDefault="00C373AC" w:rsidP="00C52522">
      <w:pPr>
        <w:pStyle w:val="FootnoteText"/>
        <w:rPr>
          <w:lang w:val="en-US"/>
        </w:rPr>
      </w:pPr>
      <w:r w:rsidRPr="00BA702D">
        <w:rPr>
          <w:rStyle w:val="FootnoteReference"/>
        </w:rPr>
        <w:footnoteRef/>
      </w:r>
      <w:r>
        <w:t xml:space="preserve"> Ibid.</w:t>
      </w:r>
    </w:p>
  </w:footnote>
  <w:footnote w:id="119">
    <w:p w:rsidR="00C373AC" w:rsidRPr="00BA702D" w:rsidRDefault="00C373AC" w:rsidP="00C52522">
      <w:pPr>
        <w:pStyle w:val="FootnoteText"/>
        <w:rPr>
          <w:lang w:val="en-US"/>
        </w:rPr>
      </w:pPr>
      <w:r w:rsidRPr="00BA702D">
        <w:rPr>
          <w:rStyle w:val="FootnoteReference"/>
        </w:rPr>
        <w:footnoteRef/>
      </w:r>
      <w:r w:rsidRPr="00BA702D">
        <w:t xml:space="preserve"> </w:t>
      </w:r>
      <w:proofErr w:type="gramStart"/>
      <w:r>
        <w:t>Ibid.</w:t>
      </w:r>
      <w:proofErr w:type="gramEnd"/>
      <w:r>
        <w:t xml:space="preserve"> </w:t>
      </w:r>
    </w:p>
  </w:footnote>
  <w:footnote w:id="120">
    <w:p w:rsidR="00C373AC" w:rsidRPr="00BA702D" w:rsidRDefault="00C373AC" w:rsidP="00C52522">
      <w:pPr>
        <w:pStyle w:val="FootnoteText"/>
        <w:rPr>
          <w:lang w:val="en-US"/>
        </w:rPr>
      </w:pPr>
      <w:r w:rsidRPr="00BA702D">
        <w:rPr>
          <w:rStyle w:val="FootnoteReference"/>
        </w:rPr>
        <w:footnoteRef/>
      </w:r>
      <w:r w:rsidRPr="00BA702D">
        <w:t xml:space="preserve"> </w:t>
      </w:r>
      <w:r>
        <w:t>Ibid</w:t>
      </w:r>
      <w:r w:rsidRPr="00BA702D">
        <w:rPr>
          <w:rFonts w:eastAsiaTheme="minorHAnsi"/>
          <w:lang w:eastAsia="en-US"/>
        </w:rPr>
        <w:t>.</w:t>
      </w:r>
    </w:p>
  </w:footnote>
  <w:footnote w:id="121">
    <w:p w:rsidR="00C373AC" w:rsidRPr="00BA702D" w:rsidRDefault="00C373AC" w:rsidP="00C52522">
      <w:pPr>
        <w:pStyle w:val="FootnoteText"/>
        <w:rPr>
          <w:lang w:val="en-US"/>
        </w:rPr>
      </w:pPr>
      <w:r w:rsidRPr="00BA702D">
        <w:rPr>
          <w:rStyle w:val="FootnoteReference"/>
        </w:rPr>
        <w:footnoteRef/>
      </w:r>
      <w:r w:rsidRPr="00BA702D">
        <w:t xml:space="preserve"> </w:t>
      </w:r>
      <w:r>
        <w:t>Ibid</w:t>
      </w:r>
      <w:r w:rsidRPr="00BA702D">
        <w:rPr>
          <w:rFonts w:eastAsiaTheme="minorHAnsi"/>
          <w:lang w:eastAsia="en-US"/>
        </w:rPr>
        <w:t>.</w:t>
      </w:r>
    </w:p>
  </w:footnote>
  <w:footnote w:id="122">
    <w:p w:rsidR="00C373AC" w:rsidRPr="0086175B" w:rsidRDefault="00C373AC" w:rsidP="008F67CC">
      <w:pPr>
        <w:pStyle w:val="FootnoteText"/>
        <w:rPr>
          <w:lang w:val="en-US"/>
        </w:rPr>
      </w:pPr>
      <w:r w:rsidRPr="00BA702D">
        <w:rPr>
          <w:rStyle w:val="FootnoteReference"/>
        </w:rPr>
        <w:footnoteRef/>
      </w:r>
      <w:r w:rsidRPr="00BA702D">
        <w:t xml:space="preserve"> </w:t>
      </w:r>
      <w:proofErr w:type="gramStart"/>
      <w:r>
        <w:t xml:space="preserve">Section 8 of </w:t>
      </w:r>
      <w:r>
        <w:rPr>
          <w:rFonts w:eastAsiaTheme="minorHAnsi"/>
          <w:lang w:eastAsia="en-US"/>
        </w:rPr>
        <w:t>IPRA.</w:t>
      </w:r>
      <w:proofErr w:type="gramEnd"/>
    </w:p>
  </w:footnote>
  <w:footnote w:id="123">
    <w:p w:rsidR="00C373AC" w:rsidRPr="00BA702D" w:rsidRDefault="00C373AC" w:rsidP="00DD57BE">
      <w:pPr>
        <w:pStyle w:val="FootnoteText"/>
        <w:rPr>
          <w:lang w:val="en-US"/>
        </w:rPr>
      </w:pPr>
      <w:r w:rsidRPr="00BA702D">
        <w:rPr>
          <w:rStyle w:val="FootnoteReference"/>
        </w:rPr>
        <w:footnoteRef/>
      </w:r>
      <w:r w:rsidRPr="00BA702D">
        <w:t xml:space="preserve"> </w:t>
      </w:r>
      <w:proofErr w:type="gramStart"/>
      <w:r>
        <w:t xml:space="preserve">Section 44 of </w:t>
      </w:r>
      <w:r>
        <w:rPr>
          <w:lang w:val="en-US"/>
        </w:rPr>
        <w:t>IPRA</w:t>
      </w:r>
      <w:r w:rsidRPr="00BA702D">
        <w:rPr>
          <w:lang w:val="en-US"/>
        </w:rPr>
        <w:t>.</w:t>
      </w:r>
      <w:proofErr w:type="gramEnd"/>
    </w:p>
  </w:footnote>
  <w:footnote w:id="124">
    <w:p w:rsidR="00C373AC" w:rsidRPr="00BA702D" w:rsidRDefault="00C373AC" w:rsidP="00C52522">
      <w:pPr>
        <w:pStyle w:val="FootnoteText"/>
        <w:rPr>
          <w:lang w:val="en-US"/>
        </w:rPr>
      </w:pPr>
      <w:r w:rsidRPr="00BA702D">
        <w:rPr>
          <w:rStyle w:val="FootnoteReference"/>
        </w:rPr>
        <w:footnoteRef/>
      </w:r>
      <w:r w:rsidRPr="00BA702D">
        <w:t xml:space="preserve"> </w:t>
      </w:r>
      <w:proofErr w:type="gramStart"/>
      <w:r>
        <w:t xml:space="preserve">Section 3 of </w:t>
      </w:r>
      <w:r>
        <w:rPr>
          <w:lang w:val="en-US"/>
        </w:rPr>
        <w:t>IPRA</w:t>
      </w:r>
      <w:r w:rsidRPr="00BA702D">
        <w:rPr>
          <w:lang w:val="en-US"/>
        </w:rPr>
        <w:t>.</w:t>
      </w:r>
      <w:proofErr w:type="gramEnd"/>
    </w:p>
  </w:footnote>
  <w:footnote w:id="125">
    <w:p w:rsidR="00C373AC" w:rsidRPr="00BA702D" w:rsidRDefault="00C373AC" w:rsidP="00C52522">
      <w:pPr>
        <w:pStyle w:val="FootnoteText"/>
        <w:rPr>
          <w:lang w:val="en-US"/>
        </w:rPr>
      </w:pPr>
      <w:r w:rsidRPr="00BA702D">
        <w:rPr>
          <w:rStyle w:val="FootnoteReference"/>
        </w:rPr>
        <w:footnoteRef/>
      </w:r>
      <w:r w:rsidRPr="00BA702D">
        <w:t xml:space="preserve"> </w:t>
      </w:r>
      <w:proofErr w:type="gramStart"/>
      <w:r>
        <w:t xml:space="preserve">Section 11 of </w:t>
      </w:r>
      <w:r>
        <w:rPr>
          <w:lang w:val="en-US"/>
        </w:rPr>
        <w:t>IPRA.</w:t>
      </w:r>
      <w:proofErr w:type="gramEnd"/>
    </w:p>
  </w:footnote>
  <w:footnote w:id="126">
    <w:p w:rsidR="00C373AC" w:rsidRPr="00BA702D" w:rsidRDefault="00C373AC" w:rsidP="00C52522">
      <w:pPr>
        <w:pStyle w:val="FootnoteText"/>
        <w:rPr>
          <w:lang w:val="en-US"/>
        </w:rPr>
      </w:pPr>
      <w:r w:rsidRPr="00BA702D">
        <w:rPr>
          <w:rStyle w:val="FootnoteReference"/>
        </w:rPr>
        <w:footnoteRef/>
      </w:r>
      <w:r w:rsidRPr="00BA702D">
        <w:t xml:space="preserve"> </w:t>
      </w:r>
      <w:proofErr w:type="gramStart"/>
      <w:r>
        <w:t xml:space="preserve">Section 3 of </w:t>
      </w:r>
      <w:r>
        <w:rPr>
          <w:lang w:val="en-US"/>
        </w:rPr>
        <w:t>IPRA</w:t>
      </w:r>
      <w:r w:rsidRPr="00BA702D">
        <w:rPr>
          <w:lang w:val="en-US"/>
        </w:rPr>
        <w:t>.</w:t>
      </w:r>
      <w:proofErr w:type="gramEnd"/>
    </w:p>
  </w:footnote>
  <w:footnote w:id="127">
    <w:p w:rsidR="00C373AC" w:rsidRPr="00BA702D" w:rsidRDefault="00C373AC" w:rsidP="00C52522">
      <w:pPr>
        <w:pStyle w:val="FootnoteText"/>
        <w:rPr>
          <w:lang w:val="en-US"/>
        </w:rPr>
      </w:pPr>
      <w:r w:rsidRPr="00BA702D">
        <w:rPr>
          <w:rStyle w:val="FootnoteReference"/>
        </w:rPr>
        <w:footnoteRef/>
      </w:r>
      <w:r w:rsidRPr="00BA702D">
        <w:t xml:space="preserve"> </w:t>
      </w:r>
      <w:proofErr w:type="gramStart"/>
      <w:r>
        <w:t xml:space="preserve">Section 55 of </w:t>
      </w:r>
      <w:r>
        <w:rPr>
          <w:lang w:val="en-US"/>
        </w:rPr>
        <w:t>IPRA</w:t>
      </w:r>
      <w:r w:rsidRPr="00BA702D">
        <w:rPr>
          <w:lang w:val="en-US"/>
        </w:rPr>
        <w:t>.</w:t>
      </w:r>
      <w:proofErr w:type="gramEnd"/>
    </w:p>
  </w:footnote>
  <w:footnote w:id="128">
    <w:p w:rsidR="00C373AC" w:rsidRPr="00BA702D" w:rsidRDefault="00C373AC" w:rsidP="00C52522">
      <w:pPr>
        <w:pStyle w:val="FootnoteText"/>
        <w:rPr>
          <w:lang w:val="en-US"/>
        </w:rPr>
      </w:pPr>
      <w:r w:rsidRPr="00BA702D">
        <w:rPr>
          <w:rStyle w:val="FootnoteReference"/>
        </w:rPr>
        <w:footnoteRef/>
      </w:r>
      <w:r w:rsidRPr="00BA702D">
        <w:t xml:space="preserve"> </w:t>
      </w:r>
      <w:proofErr w:type="gramStart"/>
      <w:r>
        <w:t xml:space="preserve">Section 56 of </w:t>
      </w:r>
      <w:r>
        <w:rPr>
          <w:lang w:val="en-US"/>
        </w:rPr>
        <w:t>IPRA</w:t>
      </w:r>
      <w:r w:rsidRPr="00BA702D">
        <w:rPr>
          <w:lang w:val="en-US"/>
        </w:rPr>
        <w:t>.</w:t>
      </w:r>
      <w:proofErr w:type="gramEnd"/>
    </w:p>
  </w:footnote>
  <w:footnote w:id="129">
    <w:p w:rsidR="00C373AC" w:rsidRPr="00BA702D" w:rsidRDefault="00C373AC" w:rsidP="003552F7">
      <w:pPr>
        <w:pStyle w:val="FootnoteText"/>
        <w:rPr>
          <w:lang w:val="en-US"/>
        </w:rPr>
      </w:pPr>
      <w:r w:rsidRPr="00BA702D">
        <w:rPr>
          <w:rStyle w:val="FootnoteReference"/>
        </w:rPr>
        <w:footnoteRef/>
      </w:r>
      <w:r w:rsidRPr="00BA702D">
        <w:t xml:space="preserve"> </w:t>
      </w:r>
      <w:proofErr w:type="gramStart"/>
      <w:r>
        <w:t xml:space="preserve">Section 52 of </w:t>
      </w:r>
      <w:r>
        <w:rPr>
          <w:rFonts w:eastAsiaTheme="minorHAnsi"/>
          <w:lang w:eastAsia="en-US"/>
        </w:rPr>
        <w:t>IPRA.</w:t>
      </w:r>
      <w:proofErr w:type="gramEnd"/>
    </w:p>
  </w:footnote>
  <w:footnote w:id="130">
    <w:p w:rsidR="00C373AC" w:rsidRPr="00DD57BE" w:rsidRDefault="00C373AC" w:rsidP="003552F7">
      <w:pPr>
        <w:pStyle w:val="FootnoteText"/>
        <w:rPr>
          <w:rFonts w:eastAsiaTheme="minorHAnsi"/>
          <w:lang w:eastAsia="en-US"/>
        </w:rPr>
      </w:pPr>
      <w:r w:rsidRPr="00BA702D">
        <w:rPr>
          <w:rStyle w:val="FootnoteReference"/>
        </w:rPr>
        <w:footnoteRef/>
      </w:r>
      <w:r>
        <w:t xml:space="preserve"> Section 59 of </w:t>
      </w:r>
      <w:r>
        <w:rPr>
          <w:rFonts w:eastAsiaTheme="minorHAnsi"/>
          <w:lang w:eastAsia="en-US"/>
        </w:rPr>
        <w:t>IPRA; 'Free and informed' consent means the '</w:t>
      </w:r>
      <w:r w:rsidRPr="00035187">
        <w:rPr>
          <w:rFonts w:eastAsiaTheme="minorHAnsi"/>
          <w:lang w:eastAsia="en-US"/>
        </w:rPr>
        <w:t>consensus of all members, determined in accordance with customary laws and practices, free from interference or coercion, and obtained after fully disclosing the intent and scope of the activity, in ac</w:t>
      </w:r>
      <w:r>
        <w:rPr>
          <w:rFonts w:eastAsiaTheme="minorHAnsi"/>
          <w:lang w:eastAsia="en-US"/>
        </w:rPr>
        <w:t>cessible language and processes': see section 3 of IPRA.</w:t>
      </w:r>
    </w:p>
  </w:footnote>
  <w:footnote w:id="131">
    <w:p w:rsidR="00C373AC" w:rsidRPr="00BA702D" w:rsidRDefault="00C373AC" w:rsidP="00755333">
      <w:pPr>
        <w:pStyle w:val="FootnoteText"/>
        <w:rPr>
          <w:lang w:val="en-US"/>
        </w:rPr>
      </w:pPr>
      <w:r w:rsidRPr="00BA702D">
        <w:rPr>
          <w:rStyle w:val="FootnoteReference"/>
        </w:rPr>
        <w:footnoteRef/>
      </w:r>
      <w:r w:rsidRPr="00BA702D">
        <w:t xml:space="preserve"> </w:t>
      </w:r>
      <w:proofErr w:type="gramStart"/>
      <w:r>
        <w:t xml:space="preserve">Section 3 of </w:t>
      </w:r>
      <w:r>
        <w:rPr>
          <w:lang w:val="en-US"/>
        </w:rPr>
        <w:t>IPRA</w:t>
      </w:r>
      <w:r w:rsidRPr="00BA702D">
        <w:rPr>
          <w:lang w:val="en-US"/>
        </w:rPr>
        <w:t>.</w:t>
      </w:r>
      <w:proofErr w:type="gramEnd"/>
    </w:p>
  </w:footnote>
  <w:footnote w:id="132">
    <w:p w:rsidR="00C373AC" w:rsidRPr="00BA702D" w:rsidRDefault="00C373AC" w:rsidP="00755333">
      <w:pPr>
        <w:pStyle w:val="FootnoteText"/>
        <w:rPr>
          <w:lang w:val="en-US"/>
        </w:rPr>
      </w:pPr>
      <w:r w:rsidRPr="00BA702D">
        <w:rPr>
          <w:rStyle w:val="FootnoteReference"/>
        </w:rPr>
        <w:footnoteRef/>
      </w:r>
      <w:r w:rsidRPr="00BA702D">
        <w:t xml:space="preserve"> </w:t>
      </w:r>
      <w:r w:rsidRPr="00BA702D">
        <w:rPr>
          <w:lang w:val="en-US"/>
        </w:rPr>
        <w:t>I</w:t>
      </w:r>
      <w:r>
        <w:rPr>
          <w:lang w:val="en-US"/>
        </w:rPr>
        <w:t>bid.</w:t>
      </w:r>
    </w:p>
  </w:footnote>
  <w:footnote w:id="133">
    <w:p w:rsidR="00C373AC" w:rsidRPr="0086175B" w:rsidRDefault="00C373AC" w:rsidP="00755333">
      <w:pPr>
        <w:pStyle w:val="FootnoteText"/>
        <w:rPr>
          <w:lang w:val="en-US"/>
        </w:rPr>
      </w:pPr>
      <w:r w:rsidRPr="00BA702D">
        <w:rPr>
          <w:rStyle w:val="FootnoteReference"/>
        </w:rPr>
        <w:footnoteRef/>
      </w:r>
      <w:r w:rsidRPr="00BA702D">
        <w:t xml:space="preserve"> </w:t>
      </w:r>
      <w:proofErr w:type="gramStart"/>
      <w:r>
        <w:t xml:space="preserve">Section12 of </w:t>
      </w:r>
      <w:r>
        <w:rPr>
          <w:rFonts w:eastAsiaTheme="minorHAnsi"/>
        </w:rPr>
        <w:t>IPRA.</w:t>
      </w:r>
      <w:proofErr w:type="gramEnd"/>
    </w:p>
  </w:footnote>
  <w:footnote w:id="134">
    <w:p w:rsidR="00C373AC" w:rsidRPr="008F08DD" w:rsidRDefault="00C373AC" w:rsidP="00755333">
      <w:pPr>
        <w:pStyle w:val="FootnoteText"/>
        <w:rPr>
          <w:lang w:val="en-US"/>
        </w:rPr>
      </w:pPr>
      <w:r w:rsidRPr="00BA702D">
        <w:rPr>
          <w:rStyle w:val="FootnoteReference"/>
        </w:rPr>
        <w:footnoteRef/>
      </w:r>
      <w:r w:rsidRPr="00BA702D">
        <w:t xml:space="preserve"> </w:t>
      </w:r>
      <w:proofErr w:type="gramStart"/>
      <w:r>
        <w:t xml:space="preserve">Section 5 of </w:t>
      </w:r>
      <w:r>
        <w:rPr>
          <w:rFonts w:eastAsiaTheme="minorHAnsi"/>
          <w:lang w:eastAsia="en-US"/>
        </w:rPr>
        <w:t>IPRA</w:t>
      </w:r>
      <w:r w:rsidRPr="00BA702D">
        <w:rPr>
          <w:rFonts w:eastAsiaTheme="minorHAnsi"/>
          <w:lang w:eastAsia="en-US"/>
        </w:rPr>
        <w:t>.</w:t>
      </w:r>
      <w:proofErr w:type="gramEnd"/>
    </w:p>
  </w:footnote>
  <w:footnote w:id="135">
    <w:p w:rsidR="00C373AC" w:rsidRPr="00BA702D" w:rsidRDefault="00C373AC" w:rsidP="001F55C6">
      <w:pPr>
        <w:pStyle w:val="FootnoteText"/>
        <w:rPr>
          <w:lang w:val="en-US"/>
        </w:rPr>
      </w:pPr>
      <w:r w:rsidRPr="00BA702D">
        <w:rPr>
          <w:rStyle w:val="FootnoteReference"/>
        </w:rPr>
        <w:footnoteRef/>
      </w:r>
      <w:r w:rsidRPr="00BA702D">
        <w:t xml:space="preserve"> </w:t>
      </w:r>
      <w:proofErr w:type="gramStart"/>
      <w:r>
        <w:t xml:space="preserve">Section 10 of </w:t>
      </w:r>
      <w:r>
        <w:rPr>
          <w:rFonts w:eastAsiaTheme="minorHAnsi"/>
          <w:lang w:eastAsia="en-US"/>
        </w:rPr>
        <w:t>IPRA</w:t>
      </w:r>
      <w:r w:rsidRPr="00BA702D">
        <w:rPr>
          <w:rFonts w:eastAsiaTheme="minorHAnsi"/>
          <w:lang w:eastAsia="en-US"/>
        </w:rPr>
        <w:t>.</w:t>
      </w:r>
      <w:proofErr w:type="gramEnd"/>
    </w:p>
  </w:footnote>
  <w:footnote w:id="136">
    <w:p w:rsidR="00C373AC" w:rsidRDefault="00C373AC" w:rsidP="00755333">
      <w:pPr>
        <w:pStyle w:val="FootnoteText"/>
      </w:pPr>
      <w:r>
        <w:rPr>
          <w:rStyle w:val="FootnoteReference"/>
        </w:rPr>
        <w:footnoteRef/>
      </w:r>
      <w:r>
        <w:t xml:space="preserve"> </w:t>
      </w:r>
      <w:proofErr w:type="gramStart"/>
      <w:r>
        <w:t xml:space="preserve">Above n </w:t>
      </w:r>
      <w:r>
        <w:fldChar w:fldCharType="begin"/>
      </w:r>
      <w:r>
        <w:instrText xml:space="preserve"> NOTEREF _Ref490637882 \h </w:instrText>
      </w:r>
      <w:r>
        <w:fldChar w:fldCharType="separate"/>
      </w:r>
      <w:r>
        <w:t>73</w:t>
      </w:r>
      <w:r>
        <w:fldChar w:fldCharType="end"/>
      </w:r>
      <w:r>
        <w:t xml:space="preserve">, </w:t>
      </w:r>
      <w:proofErr w:type="spellStart"/>
      <w:r>
        <w:t>pp</w:t>
      </w:r>
      <w:proofErr w:type="spellEnd"/>
      <w:r>
        <w:t xml:space="preserve"> 269, 296.</w:t>
      </w:r>
      <w:proofErr w:type="gramEnd"/>
    </w:p>
  </w:footnote>
  <w:footnote w:id="137">
    <w:p w:rsidR="00C373AC" w:rsidRPr="00BA702D" w:rsidRDefault="00C373AC" w:rsidP="00755333">
      <w:pPr>
        <w:pStyle w:val="FootnoteText"/>
        <w:rPr>
          <w:lang w:val="en-US"/>
        </w:rPr>
      </w:pPr>
      <w:r w:rsidRPr="00BA702D">
        <w:rPr>
          <w:rStyle w:val="FootnoteReference"/>
        </w:rPr>
        <w:footnoteRef/>
      </w:r>
      <w:r w:rsidRPr="00BA702D">
        <w:t xml:space="preserve"> </w:t>
      </w:r>
      <w:proofErr w:type="gramStart"/>
      <w:r>
        <w:t xml:space="preserve">Section 10 of </w:t>
      </w:r>
      <w:r>
        <w:rPr>
          <w:rFonts w:eastAsiaTheme="minorHAnsi"/>
          <w:lang w:eastAsia="en-US"/>
        </w:rPr>
        <w:t>IPRA</w:t>
      </w:r>
      <w:r w:rsidRPr="00BA702D">
        <w:rPr>
          <w:rFonts w:eastAsiaTheme="minorHAnsi"/>
          <w:lang w:eastAsia="en-US"/>
        </w:rPr>
        <w:t>.</w:t>
      </w:r>
      <w:proofErr w:type="gramEnd"/>
    </w:p>
  </w:footnote>
  <w:footnote w:id="138">
    <w:p w:rsidR="00C373AC" w:rsidRPr="00BA702D" w:rsidRDefault="00C373AC" w:rsidP="00755333">
      <w:pPr>
        <w:pStyle w:val="FootnoteText"/>
        <w:rPr>
          <w:lang w:val="en-US"/>
        </w:rPr>
      </w:pPr>
      <w:r w:rsidRPr="00BA702D">
        <w:rPr>
          <w:rStyle w:val="FootnoteReference"/>
        </w:rPr>
        <w:footnoteRef/>
      </w:r>
      <w:r w:rsidRPr="00BA702D">
        <w:t xml:space="preserve"> </w:t>
      </w:r>
      <w:proofErr w:type="gramStart"/>
      <w:r>
        <w:t xml:space="preserve">Section 72 of </w:t>
      </w:r>
      <w:r>
        <w:rPr>
          <w:lang w:val="en-US"/>
        </w:rPr>
        <w:t>IPRA</w:t>
      </w:r>
      <w:r w:rsidRPr="00BA702D">
        <w:rPr>
          <w:lang w:val="en-US"/>
        </w:rPr>
        <w:t>.</w:t>
      </w:r>
      <w:proofErr w:type="gramEnd"/>
    </w:p>
  </w:footnote>
  <w:footnote w:id="139">
    <w:p w:rsidR="00C373AC" w:rsidRPr="00BA702D" w:rsidRDefault="00C373AC" w:rsidP="00755333">
      <w:pPr>
        <w:pStyle w:val="FootnoteText"/>
        <w:rPr>
          <w:lang w:val="en-US"/>
        </w:rPr>
      </w:pPr>
      <w:r w:rsidRPr="00BA702D">
        <w:rPr>
          <w:rStyle w:val="FootnoteReference"/>
        </w:rPr>
        <w:footnoteRef/>
      </w:r>
      <w:r w:rsidRPr="00BA702D">
        <w:t xml:space="preserve"> </w:t>
      </w:r>
      <w:proofErr w:type="gramStart"/>
      <w:r>
        <w:t xml:space="preserve">Section 35 of </w:t>
      </w:r>
      <w:r>
        <w:rPr>
          <w:rFonts w:eastAsiaTheme="minorHAnsi"/>
          <w:lang w:eastAsia="en-US"/>
        </w:rPr>
        <w:t>IPRA</w:t>
      </w:r>
      <w:r w:rsidRPr="00BA702D">
        <w:rPr>
          <w:rFonts w:eastAsiaTheme="minorHAnsi"/>
          <w:lang w:eastAsia="en-US"/>
        </w:rPr>
        <w:t>.</w:t>
      </w:r>
      <w:proofErr w:type="gramEnd"/>
    </w:p>
  </w:footnote>
  <w:footnote w:id="140">
    <w:p w:rsidR="00C373AC" w:rsidRPr="00BD211F" w:rsidRDefault="00C373AC" w:rsidP="00755333">
      <w:pPr>
        <w:pStyle w:val="FootnoteText"/>
        <w:rPr>
          <w:lang w:val="en-US"/>
        </w:rPr>
      </w:pPr>
      <w:r w:rsidRPr="00BA702D">
        <w:rPr>
          <w:rStyle w:val="FootnoteReference"/>
        </w:rPr>
        <w:footnoteRef/>
      </w:r>
      <w:r w:rsidRPr="00BA702D">
        <w:t xml:space="preserve"> </w:t>
      </w:r>
      <w:proofErr w:type="gramStart"/>
      <w:r>
        <w:t xml:space="preserve">Section 33 of </w:t>
      </w:r>
      <w:r>
        <w:rPr>
          <w:lang w:val="en-US"/>
        </w:rPr>
        <w:t>IPRA</w:t>
      </w:r>
      <w:r>
        <w:rPr>
          <w:rFonts w:eastAsiaTheme="minorHAnsi"/>
          <w:lang w:eastAsia="en-US"/>
        </w:rPr>
        <w:t>.</w:t>
      </w:r>
      <w:proofErr w:type="gramEnd"/>
    </w:p>
  </w:footnote>
  <w:footnote w:id="141">
    <w:p w:rsidR="00C373AC" w:rsidRDefault="00C373AC" w:rsidP="00755333">
      <w:pPr>
        <w:pStyle w:val="FootnoteText"/>
      </w:pPr>
      <w:r>
        <w:rPr>
          <w:rStyle w:val="FootnoteReference"/>
        </w:rPr>
        <w:footnoteRef/>
      </w:r>
      <w:r>
        <w:t xml:space="preserve"> See generally </w:t>
      </w:r>
      <w:proofErr w:type="spellStart"/>
      <w:r>
        <w:t>Mencio</w:t>
      </w:r>
      <w:proofErr w:type="spellEnd"/>
      <w:r>
        <w:t xml:space="preserve"> </w:t>
      </w:r>
      <w:proofErr w:type="spellStart"/>
      <w:r>
        <w:t>Molintas</w:t>
      </w:r>
      <w:proofErr w:type="spellEnd"/>
      <w:r>
        <w:t xml:space="preserve">, </w:t>
      </w:r>
      <w:r w:rsidRPr="00732EEC">
        <w:rPr>
          <w:i/>
        </w:rPr>
        <w:t>The Philippine Indigenous Peoples' Struggle for Land and Life: Challenging Legal</w:t>
      </w:r>
      <w:r>
        <w:t xml:space="preserve"> Texts (2004) 21 </w:t>
      </w:r>
      <w:r w:rsidRPr="00732EEC">
        <w:t>Arizona Journal of International and Comparative Law</w:t>
      </w:r>
      <w:r>
        <w:t xml:space="preserve"> p 269, quoting </w:t>
      </w:r>
      <w:proofErr w:type="spellStart"/>
      <w:r>
        <w:t>Raumundo</w:t>
      </w:r>
      <w:proofErr w:type="spellEnd"/>
      <w:r>
        <w:t xml:space="preserve"> D </w:t>
      </w:r>
      <w:proofErr w:type="spellStart"/>
      <w:r>
        <w:t>Rovillos</w:t>
      </w:r>
      <w:proofErr w:type="spellEnd"/>
      <w:r>
        <w:t xml:space="preserve"> and Victoria </w:t>
      </w:r>
      <w:proofErr w:type="spellStart"/>
      <w:r>
        <w:t>Tauli-Corpuz</w:t>
      </w:r>
      <w:proofErr w:type="spellEnd"/>
      <w:r>
        <w:t xml:space="preserve">, </w:t>
      </w:r>
      <w:r>
        <w:rPr>
          <w:i/>
        </w:rPr>
        <w:t xml:space="preserve">Special </w:t>
      </w:r>
      <w:proofErr w:type="spellStart"/>
      <w:r>
        <w:rPr>
          <w:i/>
        </w:rPr>
        <w:t>Rapportueur</w:t>
      </w:r>
      <w:proofErr w:type="spellEnd"/>
      <w:r>
        <w:rPr>
          <w:i/>
        </w:rPr>
        <w:t xml:space="preserve"> on Indigenous Peoples' Rights: Philippine </w:t>
      </w:r>
      <w:proofErr w:type="spellStart"/>
      <w:r>
        <w:rPr>
          <w:i/>
        </w:rPr>
        <w:t>Misi</w:t>
      </w:r>
      <w:r>
        <w:rPr>
          <w:rFonts w:cs="Arial"/>
          <w:i/>
        </w:rPr>
        <w:t>ó</w:t>
      </w:r>
      <w:r>
        <w:rPr>
          <w:i/>
        </w:rPr>
        <w:t>n</w:t>
      </w:r>
      <w:proofErr w:type="spellEnd"/>
      <w:r>
        <w:rPr>
          <w:i/>
        </w:rPr>
        <w:t xml:space="preserve"> </w:t>
      </w:r>
      <w:r w:rsidRPr="009E33D5">
        <w:t>5</w:t>
      </w:r>
      <w:r>
        <w:t xml:space="preserve"> (2002)</w:t>
      </w:r>
      <w:r>
        <w:rPr>
          <w:rFonts w:eastAsiaTheme="minorHAnsi"/>
          <w:sz w:val="18"/>
          <w:szCs w:val="18"/>
          <w:lang w:eastAsia="en-US"/>
        </w:rPr>
        <w:t>.</w:t>
      </w:r>
    </w:p>
  </w:footnote>
  <w:footnote w:id="142">
    <w:p w:rsidR="00C373AC" w:rsidRPr="009E33D5" w:rsidRDefault="00C373AC" w:rsidP="00755333">
      <w:pPr>
        <w:pStyle w:val="Footer"/>
        <w:rPr>
          <w:lang w:val="en-US"/>
        </w:rPr>
      </w:pPr>
      <w:r>
        <w:rPr>
          <w:rStyle w:val="FootnoteReference"/>
        </w:rPr>
        <w:footnoteRef/>
      </w:r>
      <w:r>
        <w:t xml:space="preserve"> </w:t>
      </w:r>
      <w:r w:rsidRPr="008D6DDA">
        <w:t>Ruth Sidchogan-Batani</w:t>
      </w:r>
      <w:r>
        <w:t xml:space="preserve">, </w:t>
      </w:r>
      <w:r w:rsidRPr="00732EEC">
        <w:rPr>
          <w:i/>
        </w:rPr>
        <w:t>Implementation of the Indigenous Peoples Rights Act (IPRA) in the Philippines: Challenges and Opportunities</w:t>
      </w:r>
      <w:r>
        <w:t xml:space="preserve"> (Background Paper, Expert Seminar on Treaties, Agreements and Other Constructive Arrangements between States and Indigenous Peoples, Geneva, Office of the United Nations High Commissioner for Human Rights, 15–17 December 2003); ibid.</w:t>
      </w:r>
    </w:p>
  </w:footnote>
  <w:footnote w:id="143">
    <w:p w:rsidR="00C373AC" w:rsidRPr="00D55B65" w:rsidRDefault="00C373AC" w:rsidP="00755333">
      <w:pPr>
        <w:pStyle w:val="Footer"/>
        <w:rPr>
          <w:rFonts w:eastAsiaTheme="minorHAnsi" w:cs="Arial"/>
          <w:szCs w:val="16"/>
          <w:lang w:eastAsia="en-US"/>
        </w:rPr>
      </w:pPr>
      <w:r>
        <w:rPr>
          <w:rStyle w:val="FootnoteReference"/>
        </w:rPr>
        <w:footnoteRef/>
      </w:r>
      <w:r>
        <w:t xml:space="preserve"> Above n </w:t>
      </w:r>
      <w:r>
        <w:fldChar w:fldCharType="begin"/>
      </w:r>
      <w:r>
        <w:instrText xml:space="preserve"> NOTEREF _Ref490637882 \h </w:instrText>
      </w:r>
      <w:r>
        <w:fldChar w:fldCharType="separate"/>
      </w:r>
      <w:r>
        <w:t>73</w:t>
      </w:r>
      <w:r>
        <w:fldChar w:fldCharType="end"/>
      </w:r>
      <w:r>
        <w:t xml:space="preserve"> .</w:t>
      </w:r>
    </w:p>
  </w:footnote>
  <w:footnote w:id="144">
    <w:p w:rsidR="00C373AC" w:rsidRPr="00D55B65" w:rsidRDefault="00C373AC" w:rsidP="00755333">
      <w:pPr>
        <w:pStyle w:val="Footer"/>
        <w:rPr>
          <w:rFonts w:eastAsiaTheme="minorHAnsi" w:cs="Arial"/>
          <w:szCs w:val="16"/>
          <w:lang w:eastAsia="en-US"/>
        </w:rPr>
      </w:pPr>
      <w:r>
        <w:rPr>
          <w:rStyle w:val="FootnoteReference"/>
        </w:rPr>
        <w:footnoteRef/>
      </w:r>
      <w:r>
        <w:t xml:space="preserve"> Ibid pp 269, 291–2</w:t>
      </w:r>
      <w:r>
        <w:rPr>
          <w:rFonts w:eastAsiaTheme="minorHAnsi" w:cs="Arial"/>
          <w:szCs w:val="16"/>
          <w:lang w:eastAsia="en-US"/>
        </w:rPr>
        <w:t>.</w:t>
      </w:r>
    </w:p>
  </w:footnote>
  <w:footnote w:id="145">
    <w:p w:rsidR="00C373AC" w:rsidRPr="00195A16" w:rsidRDefault="00C373AC" w:rsidP="00755333">
      <w:pPr>
        <w:pStyle w:val="Footer"/>
      </w:pPr>
      <w:r>
        <w:rPr>
          <w:rStyle w:val="FootnoteReference"/>
        </w:rPr>
        <w:footnoteRef/>
      </w:r>
      <w:r>
        <w:t xml:space="preserve"> </w:t>
      </w:r>
      <w:r>
        <w:rPr>
          <w:lang w:val="en-US"/>
        </w:rPr>
        <w:t xml:space="preserve">Janis Alcorn, </w:t>
      </w:r>
      <w:r w:rsidRPr="000B32DB">
        <w:rPr>
          <w:i/>
          <w:lang w:val="en-US"/>
        </w:rPr>
        <w:t>Tenure and Indigenous Peoples: The Importance of Self-Determination, Territory, and</w:t>
      </w:r>
      <w:r w:rsidRPr="008D6DDA">
        <w:rPr>
          <w:lang w:val="en-US"/>
        </w:rPr>
        <w:t xml:space="preserve"> </w:t>
      </w:r>
      <w:r w:rsidRPr="001838EB">
        <w:rPr>
          <w:i/>
          <w:lang w:val="en-US"/>
        </w:rPr>
        <w:t>Rights to Land and Other Natural Resources</w:t>
      </w:r>
      <w:r>
        <w:rPr>
          <w:lang w:val="en-US"/>
        </w:rPr>
        <w:t xml:space="preserve"> (1 July 2013) US Aid &lt;</w:t>
      </w:r>
      <w:hyperlink r:id="rId2" w:history="1">
        <w:r w:rsidRPr="008D6DDA">
          <w:rPr>
            <w:rStyle w:val="Hyperlink"/>
            <w:color w:val="auto"/>
          </w:rPr>
          <w:t>https://www.land-links.org/issue-brief/tenure-and-indigenous-peoples/</w:t>
        </w:r>
      </w:hyperlink>
      <w:r>
        <w:rPr>
          <w:lang w:val="en-US"/>
        </w:rPr>
        <w:t>&gt;.</w:t>
      </w:r>
    </w:p>
  </w:footnote>
  <w:footnote w:id="146">
    <w:p w:rsidR="00C373AC" w:rsidRPr="00BA702D" w:rsidRDefault="00C373AC" w:rsidP="00755333">
      <w:pPr>
        <w:pStyle w:val="FootnoteText"/>
        <w:rPr>
          <w:lang w:val="en-US"/>
        </w:rPr>
      </w:pPr>
      <w:r w:rsidRPr="00BA702D">
        <w:rPr>
          <w:rStyle w:val="FootnoteReference"/>
        </w:rPr>
        <w:footnoteRef/>
      </w:r>
      <w:proofErr w:type="gramStart"/>
      <w:r>
        <w:t xml:space="preserve">Sections 63 and 65 of </w:t>
      </w:r>
      <w:r>
        <w:rPr>
          <w:rFonts w:eastAsiaTheme="minorHAnsi"/>
          <w:lang w:eastAsia="en-US"/>
        </w:rPr>
        <w:t>IPRA.</w:t>
      </w:r>
      <w:proofErr w:type="gramEnd"/>
      <w:r>
        <w:rPr>
          <w:rFonts w:eastAsiaTheme="minorHAnsi"/>
          <w:lang w:eastAsia="en-US"/>
        </w:rPr>
        <w:t xml:space="preserve"> </w:t>
      </w:r>
    </w:p>
  </w:footnote>
  <w:footnote w:id="147">
    <w:p w:rsidR="00C373AC" w:rsidRPr="00BA702D" w:rsidRDefault="00C373AC" w:rsidP="00755333">
      <w:pPr>
        <w:pStyle w:val="FootnoteText"/>
        <w:rPr>
          <w:lang w:val="en-US"/>
        </w:rPr>
      </w:pPr>
      <w:r w:rsidRPr="00BA702D">
        <w:rPr>
          <w:rStyle w:val="FootnoteReference"/>
        </w:rPr>
        <w:footnoteRef/>
      </w:r>
      <w:r w:rsidRPr="00BA702D">
        <w:t xml:space="preserve"> </w:t>
      </w:r>
      <w:proofErr w:type="gramStart"/>
      <w:r>
        <w:t xml:space="preserve">Section 66 of </w:t>
      </w:r>
      <w:r>
        <w:rPr>
          <w:rFonts w:eastAsiaTheme="minorHAnsi"/>
          <w:lang w:eastAsia="en-US"/>
        </w:rPr>
        <w:t>IPRA.</w:t>
      </w:r>
      <w:proofErr w:type="gramEnd"/>
    </w:p>
  </w:footnote>
  <w:footnote w:id="148">
    <w:p w:rsidR="00C373AC" w:rsidRPr="006652AA" w:rsidRDefault="00C373AC" w:rsidP="00755333">
      <w:pPr>
        <w:pStyle w:val="FootnoteText"/>
        <w:rPr>
          <w:lang w:val="en-US"/>
        </w:rPr>
      </w:pPr>
      <w:r w:rsidRPr="00BA702D">
        <w:rPr>
          <w:rStyle w:val="FootnoteReference"/>
        </w:rPr>
        <w:footnoteRef/>
      </w:r>
      <w:r w:rsidRPr="00BA702D">
        <w:t xml:space="preserve"> </w:t>
      </w:r>
      <w:proofErr w:type="gramStart"/>
      <w:r>
        <w:t xml:space="preserve">Section 64 of </w:t>
      </w:r>
      <w:r>
        <w:rPr>
          <w:rFonts w:eastAsiaTheme="minorHAnsi"/>
          <w:lang w:eastAsia="en-US"/>
        </w:rPr>
        <w:t>IPRA</w:t>
      </w:r>
      <w:r w:rsidRPr="00BA702D">
        <w:rPr>
          <w:rFonts w:eastAsiaTheme="minorHAnsi"/>
          <w:lang w:eastAsia="en-US"/>
        </w:rPr>
        <w:t>.</w:t>
      </w:r>
      <w:proofErr w:type="gramEnd"/>
    </w:p>
  </w:footnote>
  <w:footnote w:id="149">
    <w:p w:rsidR="00C373AC" w:rsidRPr="0051676A" w:rsidRDefault="00C373AC" w:rsidP="00816424">
      <w:pPr>
        <w:pStyle w:val="Footer"/>
        <w:spacing w:line="288" w:lineRule="auto"/>
      </w:pPr>
      <w:r>
        <w:rPr>
          <w:rStyle w:val="FootnoteReference"/>
        </w:rPr>
        <w:footnoteRef/>
      </w:r>
      <w:r>
        <w:t xml:space="preserve"> Above n </w:t>
      </w:r>
      <w:r>
        <w:fldChar w:fldCharType="begin"/>
      </w:r>
      <w:r>
        <w:instrText xml:space="preserve"> NOTEREF _Ref490637998 \h </w:instrText>
      </w:r>
      <w:r>
        <w:fldChar w:fldCharType="separate"/>
      </w:r>
      <w:r>
        <w:t>142</w:t>
      </w:r>
      <w:r>
        <w:fldChar w:fldCharType="end"/>
      </w:r>
      <w:r>
        <w:t>, pp 269, 297.</w:t>
      </w:r>
    </w:p>
  </w:footnote>
  <w:footnote w:id="150">
    <w:p w:rsidR="00C373AC" w:rsidRPr="0051676A" w:rsidRDefault="00C373AC" w:rsidP="00816424">
      <w:pPr>
        <w:pStyle w:val="Footer"/>
        <w:spacing w:line="288" w:lineRule="auto"/>
      </w:pPr>
      <w:r>
        <w:rPr>
          <w:rStyle w:val="FootnoteReference"/>
        </w:rPr>
        <w:footnoteRef/>
      </w:r>
      <w:r>
        <w:t xml:space="preserve"> Ibid, pp 269, 297.</w:t>
      </w:r>
    </w:p>
  </w:footnote>
  <w:footnote w:id="151">
    <w:p w:rsidR="00C373AC" w:rsidRPr="00726207" w:rsidRDefault="00C373AC" w:rsidP="00217B38">
      <w:pPr>
        <w:pStyle w:val="FootnoteText"/>
        <w:rPr>
          <w:lang w:val="en-US"/>
        </w:rPr>
      </w:pPr>
      <w:r>
        <w:rPr>
          <w:rStyle w:val="FootnoteReference"/>
        </w:rPr>
        <w:footnoteRef/>
      </w:r>
      <w:r>
        <w:t xml:space="preserve"> Above n </w:t>
      </w:r>
      <w:r>
        <w:fldChar w:fldCharType="begin"/>
      </w:r>
      <w:r>
        <w:instrText xml:space="preserve"> NOTEREF _Ref490636451 \h </w:instrText>
      </w:r>
      <w:r>
        <w:fldChar w:fldCharType="separate"/>
      </w:r>
      <w:r>
        <w:t>15</w:t>
      </w:r>
      <w:r>
        <w:fldChar w:fldCharType="end"/>
      </w:r>
      <w:r>
        <w:t xml:space="preserve">, </w:t>
      </w:r>
      <w:r>
        <w:rPr>
          <w:lang w:val="en-US"/>
        </w:rPr>
        <w:t xml:space="preserve">p </w:t>
      </w:r>
      <w:proofErr w:type="gramStart"/>
      <w:r>
        <w:rPr>
          <w:lang w:val="en-US"/>
        </w:rPr>
        <w:t>14 .</w:t>
      </w:r>
      <w:proofErr w:type="gramEnd"/>
    </w:p>
  </w:footnote>
  <w:footnote w:id="152">
    <w:p w:rsidR="00C373AC" w:rsidRPr="00F14AFF" w:rsidRDefault="00C373AC" w:rsidP="00217B38">
      <w:pPr>
        <w:pStyle w:val="Footer"/>
        <w:spacing w:line="288" w:lineRule="auto"/>
      </w:pPr>
      <w:r>
        <w:rPr>
          <w:rStyle w:val="FootnoteReference"/>
        </w:rPr>
        <w:footnoteRef/>
      </w:r>
      <w:r>
        <w:t xml:space="preserve"> Above n </w:t>
      </w:r>
      <w:r>
        <w:fldChar w:fldCharType="begin"/>
      </w:r>
      <w:r>
        <w:instrText xml:space="preserve"> NOTEREF _Ref490638058 \h </w:instrText>
      </w:r>
      <w:r>
        <w:fldChar w:fldCharType="separate"/>
      </w:r>
      <w:r>
        <w:t>79</w:t>
      </w:r>
      <w:r>
        <w:fldChar w:fldCharType="end"/>
      </w:r>
      <w:r>
        <w:t>,</w:t>
      </w:r>
      <w:r>
        <w:rPr>
          <w:lang w:val="en-US"/>
        </w:rPr>
        <w:t xml:space="preserve"> p 3.</w:t>
      </w:r>
    </w:p>
  </w:footnote>
  <w:footnote w:id="153">
    <w:p w:rsidR="00C373AC" w:rsidRPr="00EB4207" w:rsidRDefault="00C373AC" w:rsidP="00217B38">
      <w:pPr>
        <w:pStyle w:val="FootnoteText"/>
        <w:rPr>
          <w:lang w:val="en-US"/>
        </w:rPr>
      </w:pPr>
      <w:r>
        <w:rPr>
          <w:rStyle w:val="FootnoteReference"/>
        </w:rPr>
        <w:footnoteRef/>
      </w:r>
      <w:r>
        <w:t xml:space="preserve"> </w:t>
      </w:r>
      <w:proofErr w:type="gramStart"/>
      <w:r>
        <w:rPr>
          <w:lang w:val="en-US"/>
        </w:rPr>
        <w:t>Ibid p 5</w:t>
      </w:r>
      <w:r>
        <w:t>.</w:t>
      </w:r>
      <w:proofErr w:type="gramEnd"/>
    </w:p>
  </w:footnote>
  <w:footnote w:id="154">
    <w:p w:rsidR="00C373AC" w:rsidRPr="00EB4207" w:rsidRDefault="00C373AC" w:rsidP="00217B38">
      <w:pPr>
        <w:pStyle w:val="FootnoteText"/>
        <w:rPr>
          <w:lang w:val="en-US"/>
        </w:rPr>
      </w:pPr>
      <w:r>
        <w:rPr>
          <w:rStyle w:val="FootnoteReference"/>
        </w:rPr>
        <w:footnoteRef/>
      </w:r>
      <w:r>
        <w:t xml:space="preserve"> </w:t>
      </w:r>
      <w:proofErr w:type="gramStart"/>
      <w:r>
        <w:t>Ibid</w:t>
      </w:r>
      <w:r>
        <w:rPr>
          <w:lang w:val="en-US"/>
        </w:rPr>
        <w:t xml:space="preserve"> p 5</w:t>
      </w:r>
      <w:r>
        <w:t>.</w:t>
      </w:r>
      <w:proofErr w:type="gramEnd"/>
    </w:p>
  </w:footnote>
  <w:footnote w:id="155">
    <w:p w:rsidR="00C373AC" w:rsidRPr="00217B38" w:rsidRDefault="00C373AC" w:rsidP="00217B38">
      <w:pPr>
        <w:pStyle w:val="Footer"/>
        <w:spacing w:line="288" w:lineRule="auto"/>
        <w:rPr>
          <w:lang w:val="en-US"/>
        </w:rPr>
      </w:pPr>
      <w:r>
        <w:rPr>
          <w:rStyle w:val="FootnoteReference"/>
        </w:rPr>
        <w:footnoteRef/>
      </w:r>
      <w:r>
        <w:t xml:space="preserve"> Above n </w:t>
      </w:r>
      <w:r>
        <w:fldChar w:fldCharType="begin"/>
      </w:r>
      <w:r>
        <w:instrText xml:space="preserve"> NOTEREF _Ref490636561 \h </w:instrText>
      </w:r>
      <w:r>
        <w:fldChar w:fldCharType="separate"/>
      </w:r>
      <w:r>
        <w:t>21</w:t>
      </w:r>
      <w:r>
        <w:fldChar w:fldCharType="end"/>
      </w:r>
      <w:r>
        <w:t>, p 65</w:t>
      </w:r>
      <w:r>
        <w:rPr>
          <w:lang w:val="en-US"/>
        </w:rPr>
        <w:t>.</w:t>
      </w:r>
    </w:p>
  </w:footnote>
  <w:footnote w:id="156">
    <w:p w:rsidR="00C373AC" w:rsidRPr="001346E5" w:rsidRDefault="00C373AC" w:rsidP="00217B38">
      <w:pPr>
        <w:pStyle w:val="Footer"/>
        <w:spacing w:line="288" w:lineRule="auto"/>
      </w:pPr>
      <w:r>
        <w:rPr>
          <w:rStyle w:val="FootnoteReference"/>
        </w:rPr>
        <w:footnoteRef/>
      </w:r>
      <w:r>
        <w:t xml:space="preserve"> Ibid </w:t>
      </w:r>
      <w:r>
        <w:rPr>
          <w:rStyle w:val="FooterChar"/>
        </w:rPr>
        <w:t xml:space="preserve">p 65. </w:t>
      </w:r>
    </w:p>
  </w:footnote>
  <w:footnote w:id="157">
    <w:p w:rsidR="00C373AC" w:rsidRPr="00D67E8C" w:rsidRDefault="00C373AC" w:rsidP="00217B38">
      <w:pPr>
        <w:pStyle w:val="FootnoteText"/>
        <w:rPr>
          <w:lang w:val="en-US"/>
        </w:rPr>
      </w:pPr>
      <w:r>
        <w:rPr>
          <w:rStyle w:val="FootnoteReference"/>
        </w:rPr>
        <w:footnoteRef/>
      </w:r>
      <w:r>
        <w:t xml:space="preserve"> </w:t>
      </w:r>
      <w:proofErr w:type="gramStart"/>
      <w:r>
        <w:t xml:space="preserve">Above n </w:t>
      </w:r>
      <w:r>
        <w:fldChar w:fldCharType="begin"/>
      </w:r>
      <w:r>
        <w:instrText xml:space="preserve"> NOTEREF _Ref490638058 \h </w:instrText>
      </w:r>
      <w:r>
        <w:fldChar w:fldCharType="separate"/>
      </w:r>
      <w:r>
        <w:t>79</w:t>
      </w:r>
      <w:r>
        <w:fldChar w:fldCharType="end"/>
      </w:r>
      <w:r>
        <w:t>,</w:t>
      </w:r>
      <w:r>
        <w:rPr>
          <w:lang w:val="en-US"/>
        </w:rPr>
        <w:t xml:space="preserve"> p 5</w:t>
      </w:r>
      <w:r>
        <w:t>.</w:t>
      </w:r>
      <w:proofErr w:type="gramEnd"/>
    </w:p>
  </w:footnote>
  <w:footnote w:id="158">
    <w:p w:rsidR="00C373AC" w:rsidRPr="00065CBB" w:rsidRDefault="00C373AC" w:rsidP="00217B38">
      <w:pPr>
        <w:pStyle w:val="FootnoteText"/>
      </w:pPr>
      <w:r w:rsidRPr="00065CBB">
        <w:rPr>
          <w:rStyle w:val="FootnoteReference"/>
        </w:rPr>
        <w:footnoteRef/>
      </w:r>
      <w:r>
        <w:t xml:space="preserve"> </w:t>
      </w:r>
      <w:proofErr w:type="gramStart"/>
      <w:r>
        <w:t xml:space="preserve">Section 45 of </w:t>
      </w:r>
      <w:r>
        <w:rPr>
          <w:bCs/>
        </w:rPr>
        <w:t>UDHA.</w:t>
      </w:r>
      <w:proofErr w:type="gramEnd"/>
    </w:p>
  </w:footnote>
  <w:footnote w:id="159">
    <w:p w:rsidR="00C373AC" w:rsidRPr="00065CBB" w:rsidRDefault="00C373AC" w:rsidP="00217B38">
      <w:pPr>
        <w:pStyle w:val="FootnoteText"/>
      </w:pPr>
      <w:r w:rsidRPr="00065CBB">
        <w:rPr>
          <w:rStyle w:val="FootnoteReference"/>
        </w:rPr>
        <w:footnoteRef/>
      </w:r>
      <w:r w:rsidRPr="00065CBB">
        <w:t xml:space="preserve"> </w:t>
      </w:r>
      <w:proofErr w:type="gramStart"/>
      <w:r>
        <w:t>Section 2 of UDHA</w:t>
      </w:r>
      <w:r w:rsidRPr="00065CBB">
        <w:t>.</w:t>
      </w:r>
      <w:proofErr w:type="gramEnd"/>
    </w:p>
  </w:footnote>
  <w:footnote w:id="160">
    <w:p w:rsidR="00C373AC" w:rsidRPr="00065CBB" w:rsidRDefault="00C373AC" w:rsidP="00217B38">
      <w:pPr>
        <w:pStyle w:val="FootnoteText"/>
      </w:pPr>
      <w:r w:rsidRPr="00065CBB">
        <w:rPr>
          <w:rStyle w:val="FootnoteReference"/>
        </w:rPr>
        <w:footnoteRef/>
      </w:r>
      <w:r w:rsidRPr="00065CBB">
        <w:t xml:space="preserve"> </w:t>
      </w:r>
      <w:proofErr w:type="gramStart"/>
      <w:r>
        <w:t xml:space="preserve">Section 15 of </w:t>
      </w:r>
      <w:r w:rsidRPr="00065CBB">
        <w:t>UDHA.</w:t>
      </w:r>
      <w:proofErr w:type="gramEnd"/>
    </w:p>
  </w:footnote>
  <w:footnote w:id="161">
    <w:p w:rsidR="00C373AC" w:rsidRPr="00065CBB" w:rsidRDefault="00C373AC" w:rsidP="00217B38">
      <w:pPr>
        <w:pStyle w:val="FootnoteText"/>
        <w:spacing w:line="240" w:lineRule="auto"/>
      </w:pPr>
      <w:r w:rsidRPr="00065CBB">
        <w:rPr>
          <w:rStyle w:val="FootnoteReference"/>
        </w:rPr>
        <w:footnoteRef/>
      </w:r>
      <w:r w:rsidRPr="00065CBB">
        <w:t xml:space="preserve"> </w:t>
      </w:r>
      <w:proofErr w:type="gramStart"/>
      <w:r>
        <w:t xml:space="preserve">Section 10 of </w:t>
      </w:r>
      <w:r w:rsidRPr="00065CBB">
        <w:t>UDHA.</w:t>
      </w:r>
      <w:proofErr w:type="gramEnd"/>
    </w:p>
  </w:footnote>
  <w:footnote w:id="162">
    <w:p w:rsidR="00C373AC" w:rsidRPr="00065CBB" w:rsidRDefault="00C373AC" w:rsidP="00217B38">
      <w:pPr>
        <w:pStyle w:val="FootnoteText"/>
        <w:spacing w:line="240" w:lineRule="auto"/>
      </w:pPr>
      <w:r w:rsidRPr="00065CBB">
        <w:rPr>
          <w:rStyle w:val="FootnoteReference"/>
        </w:rPr>
        <w:footnoteRef/>
      </w:r>
      <w:r w:rsidRPr="00065CBB">
        <w:t xml:space="preserve"> </w:t>
      </w:r>
      <w:proofErr w:type="gramStart"/>
      <w:r>
        <w:t>Section 16 of UDHA</w:t>
      </w:r>
      <w:r w:rsidRPr="00065CBB">
        <w:t>.</w:t>
      </w:r>
      <w:proofErr w:type="gramEnd"/>
    </w:p>
  </w:footnote>
  <w:footnote w:id="163">
    <w:p w:rsidR="00C373AC" w:rsidRPr="00065CBB" w:rsidRDefault="00C373AC" w:rsidP="00217B38">
      <w:pPr>
        <w:pStyle w:val="FootnoteText"/>
        <w:spacing w:line="240" w:lineRule="auto"/>
      </w:pPr>
      <w:r w:rsidRPr="00065CBB">
        <w:rPr>
          <w:rStyle w:val="FootnoteReference"/>
        </w:rPr>
        <w:footnoteRef/>
      </w:r>
      <w:r w:rsidRPr="00065CBB">
        <w:t xml:space="preserve"> </w:t>
      </w:r>
      <w:proofErr w:type="gramStart"/>
      <w:r>
        <w:t xml:space="preserve">Section 3(m) of </w:t>
      </w:r>
      <w:r w:rsidRPr="00065CBB">
        <w:t>UDHA</w:t>
      </w:r>
      <w:r>
        <w:t>.</w:t>
      </w:r>
      <w:proofErr w:type="gramEnd"/>
    </w:p>
  </w:footnote>
  <w:footnote w:id="164">
    <w:p w:rsidR="00C373AC" w:rsidRDefault="00C373AC" w:rsidP="00217B38">
      <w:pPr>
        <w:pStyle w:val="FootnoteText"/>
        <w:spacing w:line="240" w:lineRule="auto"/>
      </w:pPr>
      <w:r w:rsidRPr="00065CBB">
        <w:rPr>
          <w:rStyle w:val="FootnoteReference"/>
        </w:rPr>
        <w:footnoteRef/>
      </w:r>
      <w:r w:rsidRPr="00065CBB">
        <w:t xml:space="preserve"> </w:t>
      </w:r>
      <w:proofErr w:type="gramStart"/>
      <w:r>
        <w:t>Section 27 of UDHA.</w:t>
      </w:r>
      <w:proofErr w:type="gramEnd"/>
    </w:p>
  </w:footnote>
  <w:footnote w:id="165">
    <w:p w:rsidR="00C373AC" w:rsidRPr="00065CBB" w:rsidRDefault="00C373AC" w:rsidP="00217B38">
      <w:pPr>
        <w:pStyle w:val="FootnoteText"/>
        <w:spacing w:line="240" w:lineRule="auto"/>
      </w:pPr>
      <w:r w:rsidRPr="00065CBB">
        <w:rPr>
          <w:rStyle w:val="FootnoteReference"/>
        </w:rPr>
        <w:footnoteRef/>
      </w:r>
      <w:r w:rsidRPr="00065CBB">
        <w:t xml:space="preserve"> </w:t>
      </w:r>
      <w:proofErr w:type="gramStart"/>
      <w:r>
        <w:t xml:space="preserve">Section 28 of </w:t>
      </w:r>
      <w:r w:rsidRPr="00065CBB">
        <w:t>UDHA</w:t>
      </w:r>
      <w:r w:rsidRPr="00065CBB">
        <w:rPr>
          <w:bCs/>
        </w:rPr>
        <w:t>.</w:t>
      </w:r>
      <w:proofErr w:type="gramEnd"/>
    </w:p>
  </w:footnote>
  <w:footnote w:id="166">
    <w:p w:rsidR="00C373AC" w:rsidRPr="00065CBB" w:rsidRDefault="00C373AC" w:rsidP="00217B38">
      <w:pPr>
        <w:pStyle w:val="FootnoteText"/>
        <w:spacing w:line="240" w:lineRule="auto"/>
      </w:pPr>
      <w:r w:rsidRPr="00065CBB">
        <w:rPr>
          <w:rStyle w:val="FootnoteReference"/>
        </w:rPr>
        <w:footnoteRef/>
      </w:r>
      <w:r w:rsidRPr="00065CBB">
        <w:t xml:space="preserve"> </w:t>
      </w:r>
      <w:proofErr w:type="gramStart"/>
      <w:r>
        <w:t xml:space="preserve">Section 44 of </w:t>
      </w:r>
      <w:r w:rsidRPr="00065CBB">
        <w:t>UDHA</w:t>
      </w:r>
      <w:r w:rsidRPr="00065CBB">
        <w:rPr>
          <w:bCs/>
        </w:rPr>
        <w:t>.</w:t>
      </w:r>
      <w:proofErr w:type="gramEnd"/>
    </w:p>
  </w:footnote>
  <w:footnote w:id="167">
    <w:p w:rsidR="00C373AC" w:rsidRPr="00065CBB" w:rsidRDefault="00C373AC" w:rsidP="00217B38">
      <w:pPr>
        <w:pStyle w:val="FootnoteText"/>
        <w:spacing w:line="240" w:lineRule="auto"/>
      </w:pPr>
      <w:r w:rsidRPr="00065CBB">
        <w:rPr>
          <w:rStyle w:val="FootnoteReference"/>
        </w:rPr>
        <w:footnoteRef/>
      </w:r>
      <w:r w:rsidRPr="00065CBB">
        <w:t xml:space="preserve"> </w:t>
      </w:r>
      <w:proofErr w:type="gramStart"/>
      <w:r>
        <w:t xml:space="preserve">Section 29 of </w:t>
      </w:r>
      <w:r w:rsidRPr="00065CBB">
        <w:t>UDHA</w:t>
      </w:r>
      <w:r w:rsidRPr="00065CBB">
        <w:rPr>
          <w:bCs/>
        </w:rPr>
        <w:t>.</w:t>
      </w:r>
      <w:proofErr w:type="gramEnd"/>
    </w:p>
  </w:footnote>
  <w:footnote w:id="168">
    <w:p w:rsidR="00C373AC" w:rsidRPr="00065CBB" w:rsidRDefault="00C373AC" w:rsidP="00217B38">
      <w:pPr>
        <w:pStyle w:val="FootnoteText"/>
        <w:spacing w:line="240" w:lineRule="auto"/>
      </w:pPr>
      <w:r w:rsidRPr="00065CBB">
        <w:rPr>
          <w:rStyle w:val="FootnoteReference"/>
        </w:rPr>
        <w:footnoteRef/>
      </w:r>
      <w:r w:rsidRPr="00065CBB">
        <w:t xml:space="preserve"> </w:t>
      </w:r>
      <w:proofErr w:type="gramStart"/>
      <w:r>
        <w:t xml:space="preserve">Section 30 of </w:t>
      </w:r>
      <w:r w:rsidRPr="00065CBB">
        <w:rPr>
          <w:bCs/>
        </w:rPr>
        <w:t>UDHA</w:t>
      </w:r>
      <w:r>
        <w:rPr>
          <w:bCs/>
        </w:rPr>
        <w:t>.</w:t>
      </w:r>
      <w:proofErr w:type="gramEnd"/>
    </w:p>
  </w:footnote>
  <w:footnote w:id="169">
    <w:p w:rsidR="00C373AC" w:rsidRPr="0086175B" w:rsidRDefault="00C373AC" w:rsidP="00217B38">
      <w:pPr>
        <w:pStyle w:val="FootnoteText"/>
        <w:spacing w:line="240" w:lineRule="auto"/>
        <w:rPr>
          <w:lang w:val="en-US"/>
        </w:rPr>
      </w:pPr>
      <w:r w:rsidRPr="00065CBB">
        <w:rPr>
          <w:rStyle w:val="FootnoteReference"/>
        </w:rPr>
        <w:footnoteRef/>
      </w:r>
      <w:r w:rsidRPr="00065CBB">
        <w:t xml:space="preserve"> </w:t>
      </w:r>
      <w:proofErr w:type="gramStart"/>
      <w:r>
        <w:t xml:space="preserve">Section 10 of </w:t>
      </w:r>
      <w:r>
        <w:rPr>
          <w:rFonts w:eastAsiaTheme="minorHAnsi"/>
          <w:lang w:eastAsia="en-US"/>
        </w:rPr>
        <w:t>IPRA</w:t>
      </w:r>
      <w:r w:rsidRPr="00065CBB">
        <w:rPr>
          <w:rFonts w:eastAsiaTheme="minorHAnsi"/>
          <w:lang w:eastAsia="en-US"/>
        </w:rPr>
        <w:t>.</w:t>
      </w:r>
      <w:proofErr w:type="gramEnd"/>
    </w:p>
  </w:footnote>
  <w:footnote w:id="170">
    <w:p w:rsidR="00C373AC" w:rsidRDefault="00C373AC" w:rsidP="00EC4D28">
      <w:pPr>
        <w:pStyle w:val="Footer"/>
      </w:pPr>
      <w:r>
        <w:rPr>
          <w:rStyle w:val="FootnoteReference"/>
        </w:rPr>
        <w:footnoteRef/>
      </w:r>
      <w:r>
        <w:t xml:space="preserve"> Above n </w:t>
      </w:r>
      <w:r>
        <w:fldChar w:fldCharType="begin"/>
      </w:r>
      <w:r>
        <w:instrText xml:space="preserve"> NOTEREF _Ref490636451 \h </w:instrText>
      </w:r>
      <w:r>
        <w:fldChar w:fldCharType="separate"/>
      </w:r>
      <w:r>
        <w:t>15</w:t>
      </w:r>
      <w:r>
        <w:fldChar w:fldCharType="end"/>
      </w:r>
      <w:r>
        <w:rPr>
          <w:lang w:val="en-US"/>
        </w:rPr>
        <w:t>.</w:t>
      </w:r>
    </w:p>
  </w:footnote>
  <w:footnote w:id="171">
    <w:p w:rsidR="00C373AC" w:rsidRDefault="00C373AC">
      <w:pPr>
        <w:pStyle w:val="FootnoteText"/>
      </w:pPr>
      <w:r>
        <w:rPr>
          <w:rStyle w:val="FootnoteReference"/>
        </w:rPr>
        <w:footnoteRef/>
      </w:r>
      <w:r>
        <w:t xml:space="preserve"> United States of America Central Intelligence Agency, </w:t>
      </w:r>
      <w:r w:rsidRPr="00217B38">
        <w:rPr>
          <w:i/>
        </w:rPr>
        <w:t xml:space="preserve">The World </w:t>
      </w:r>
      <w:proofErr w:type="spellStart"/>
      <w:r w:rsidRPr="00217B38">
        <w:rPr>
          <w:i/>
        </w:rPr>
        <w:t>Factbook</w:t>
      </w:r>
      <w:proofErr w:type="spellEnd"/>
      <w:r w:rsidRPr="00217B38">
        <w:t>,</w:t>
      </w:r>
      <w:r w:rsidRPr="00217B38">
        <w:rPr>
          <w:i/>
        </w:rPr>
        <w:t xml:space="preserve"> </w:t>
      </w:r>
      <w:r>
        <w:t>accessed 22 January 2018 &lt;</w:t>
      </w:r>
      <w:r w:rsidRPr="008D0015">
        <w:t>https://www.cia.gov/library/publications/the-world-factbook/fields/2194.html</w:t>
      </w:r>
      <w:r>
        <w:t>&gt;.</w:t>
      </w:r>
    </w:p>
  </w:footnote>
  <w:footnote w:id="172">
    <w:p w:rsidR="00C373AC" w:rsidRDefault="00C373AC" w:rsidP="00C74FC9">
      <w:pPr>
        <w:pStyle w:val="FootnoteText"/>
      </w:pPr>
      <w:r>
        <w:rPr>
          <w:rStyle w:val="FootnoteReference"/>
        </w:rPr>
        <w:footnoteRef/>
      </w:r>
      <w:r>
        <w:t xml:space="preserve"> </w:t>
      </w:r>
      <w:r w:rsidRPr="00E86CA2">
        <w:t xml:space="preserve">Europe </w:t>
      </w:r>
      <w:proofErr w:type="spellStart"/>
      <w:r w:rsidRPr="00E86CA2">
        <w:t>Solidaire</w:t>
      </w:r>
      <w:proofErr w:type="spellEnd"/>
      <w:r w:rsidRPr="00E86CA2">
        <w:t xml:space="preserve"> Sans </w:t>
      </w:r>
      <w:proofErr w:type="spellStart"/>
      <w:r w:rsidRPr="00E86CA2">
        <w:t>Frontieres</w:t>
      </w:r>
      <w:proofErr w:type="spellEnd"/>
      <w:r>
        <w:t xml:space="preserve">, </w:t>
      </w:r>
      <w:r w:rsidRPr="00217B38">
        <w:rPr>
          <w:i/>
        </w:rPr>
        <w:t>Mindanao (Philippines): The situation of the Internally Displaced Population (IDPs) affected by the ongoing armed conflicts and the solidarity needs</w:t>
      </w:r>
      <w:r>
        <w:t xml:space="preserve"> (18 March 2015), accessed 22 January 2018 &lt;</w:t>
      </w:r>
      <w:r w:rsidRPr="008D0015">
        <w:t>https://www.europe-solidaire.org/spip.php?article34621</w:t>
      </w:r>
      <w:r>
        <w:t>&gt;.</w:t>
      </w:r>
    </w:p>
  </w:footnote>
  <w:footnote w:id="173">
    <w:p w:rsidR="00C373AC" w:rsidRDefault="00C373AC" w:rsidP="00C74FC9">
      <w:pPr>
        <w:pStyle w:val="FootnoteText"/>
      </w:pPr>
      <w:r>
        <w:rPr>
          <w:rStyle w:val="FootnoteReference"/>
        </w:rPr>
        <w:footnoteRef/>
      </w:r>
      <w:r>
        <w:t xml:space="preserve"> Ibid.</w:t>
      </w:r>
    </w:p>
  </w:footnote>
  <w:footnote w:id="174">
    <w:p w:rsidR="00C373AC" w:rsidRDefault="00C373AC">
      <w:pPr>
        <w:pStyle w:val="FootnoteText"/>
      </w:pPr>
      <w:r>
        <w:rPr>
          <w:rStyle w:val="FootnoteReference"/>
        </w:rPr>
        <w:footnoteRef/>
      </w:r>
      <w:r>
        <w:t xml:space="preserve"> Ibid.</w:t>
      </w:r>
    </w:p>
  </w:footnote>
  <w:footnote w:id="175">
    <w:p w:rsidR="00C373AC" w:rsidRDefault="00C373AC">
      <w:pPr>
        <w:pStyle w:val="FootnoteText"/>
      </w:pPr>
      <w:r>
        <w:rPr>
          <w:rStyle w:val="FootnoteReference"/>
        </w:rPr>
        <w:footnoteRef/>
      </w:r>
      <w:r>
        <w:t xml:space="preserve"> Ibid.</w:t>
      </w:r>
    </w:p>
  </w:footnote>
  <w:footnote w:id="176">
    <w:p w:rsidR="00C373AC" w:rsidRDefault="00C373AC" w:rsidP="00C74FC9">
      <w:pPr>
        <w:pStyle w:val="FootnoteText"/>
      </w:pPr>
      <w:r>
        <w:rPr>
          <w:rStyle w:val="FootnoteReference"/>
        </w:rPr>
        <w:footnoteRef/>
      </w:r>
      <w:r>
        <w:t xml:space="preserve"> Ibid.</w:t>
      </w:r>
    </w:p>
  </w:footnote>
  <w:footnote w:id="177">
    <w:p w:rsidR="00C373AC" w:rsidRPr="00341772" w:rsidRDefault="00C373AC">
      <w:pPr>
        <w:pStyle w:val="FootnoteText"/>
        <w:rPr>
          <w:i/>
        </w:rPr>
      </w:pPr>
      <w:r>
        <w:rPr>
          <w:rStyle w:val="FootnoteReference"/>
        </w:rPr>
        <w:footnoteRef/>
      </w:r>
      <w:r>
        <w:t xml:space="preserve"> </w:t>
      </w:r>
      <w:proofErr w:type="spellStart"/>
      <w:r>
        <w:t>Frederik</w:t>
      </w:r>
      <w:proofErr w:type="spellEnd"/>
      <w:r>
        <w:t xml:space="preserve"> </w:t>
      </w:r>
      <w:proofErr w:type="spellStart"/>
      <w:r>
        <w:t>Kok</w:t>
      </w:r>
      <w:proofErr w:type="spellEnd"/>
      <w:r>
        <w:t>,</w:t>
      </w:r>
      <w:r w:rsidRPr="00813E32">
        <w:t xml:space="preserve"> Ernesto </w:t>
      </w:r>
      <w:proofErr w:type="spellStart"/>
      <w:r w:rsidRPr="00813E32">
        <w:t>Anasarias</w:t>
      </w:r>
      <w:proofErr w:type="spellEnd"/>
      <w:r w:rsidRPr="00813E32">
        <w:t xml:space="preserve"> and Ma</w:t>
      </w:r>
      <w:r>
        <w:t xml:space="preserve">ria Cecilia Kristina M Africa, </w:t>
      </w:r>
      <w:r w:rsidRPr="00843499">
        <w:rPr>
          <w:i/>
        </w:rPr>
        <w:t xml:space="preserve">Living in the Shadows: Displaced </w:t>
      </w:r>
      <w:proofErr w:type="spellStart"/>
      <w:r w:rsidRPr="00843499">
        <w:rPr>
          <w:i/>
        </w:rPr>
        <w:t>Lumads</w:t>
      </w:r>
      <w:proofErr w:type="spellEnd"/>
      <w:r w:rsidRPr="00843499">
        <w:rPr>
          <w:i/>
        </w:rPr>
        <w:t xml:space="preserve"> Locked in a Cycle of Poverty</w:t>
      </w:r>
      <w:r>
        <w:t xml:space="preserve"> (August 2013) </w:t>
      </w:r>
      <w:r w:rsidRPr="00813E32">
        <w:t>Internal Displacement Monitoring Centre, Norwegian Refugee Council</w:t>
      </w:r>
      <w:r>
        <w:t>.</w:t>
      </w:r>
    </w:p>
  </w:footnote>
  <w:footnote w:id="178">
    <w:p w:rsidR="00C373AC" w:rsidRPr="00631BC9" w:rsidRDefault="00C373AC">
      <w:pPr>
        <w:pStyle w:val="FootnoteText"/>
      </w:pPr>
      <w:r>
        <w:rPr>
          <w:rStyle w:val="FootnoteReference"/>
        </w:rPr>
        <w:footnoteRef/>
      </w:r>
      <w:r>
        <w:t xml:space="preserve"> Frederik Kok,</w:t>
      </w:r>
      <w:r w:rsidRPr="00813E32">
        <w:t xml:space="preserve"> </w:t>
      </w:r>
      <w:r w:rsidRPr="00843499">
        <w:rPr>
          <w:i/>
        </w:rPr>
        <w:t xml:space="preserve">Philippines: Why housing rights must be prioritised to end displacement of Zamboanga’s urban poor </w:t>
      </w:r>
      <w:r>
        <w:t xml:space="preserve">(January 2015) </w:t>
      </w:r>
      <w:r w:rsidRPr="00F3365E">
        <w:t>Internal Displacement Monitoring Cen</w:t>
      </w:r>
      <w:r>
        <w:t>tre, Norwegian Refugee Council.</w:t>
      </w:r>
    </w:p>
  </w:footnote>
  <w:footnote w:id="179">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_Ref504463693 \h </w:instrText>
      </w:r>
      <w:r>
        <w:fldChar w:fldCharType="separate"/>
      </w:r>
      <w:r>
        <w:t>177</w:t>
      </w:r>
      <w:r>
        <w:fldChar w:fldCharType="end"/>
      </w:r>
      <w:r>
        <w:t>, p 5.</w:t>
      </w:r>
      <w:proofErr w:type="gramEnd"/>
    </w:p>
  </w:footnote>
  <w:footnote w:id="180">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_Ref504463710 \h </w:instrText>
      </w:r>
      <w:r>
        <w:fldChar w:fldCharType="separate"/>
      </w:r>
      <w:r>
        <w:t>178</w:t>
      </w:r>
      <w:r>
        <w:fldChar w:fldCharType="end"/>
      </w:r>
      <w:r>
        <w:t>.</w:t>
      </w:r>
      <w:proofErr w:type="gramEnd"/>
    </w:p>
  </w:footnote>
  <w:footnote w:id="181">
    <w:p w:rsidR="00C373AC" w:rsidRDefault="00C373AC" w:rsidP="00224B42">
      <w:pPr>
        <w:pStyle w:val="FootnoteText"/>
      </w:pPr>
      <w:r>
        <w:rPr>
          <w:rStyle w:val="FootnoteReference"/>
        </w:rPr>
        <w:footnoteRef/>
      </w:r>
      <w:r>
        <w:t xml:space="preserve"> Patricia Lourdes </w:t>
      </w:r>
      <w:proofErr w:type="spellStart"/>
      <w:r>
        <w:t>Viray</w:t>
      </w:r>
      <w:proofErr w:type="spellEnd"/>
      <w:r>
        <w:t xml:space="preserve">, </w:t>
      </w:r>
      <w:r w:rsidRPr="00843499">
        <w:rPr>
          <w:i/>
        </w:rPr>
        <w:t>Philippines 2</w:t>
      </w:r>
      <w:r w:rsidRPr="00843499">
        <w:rPr>
          <w:i/>
          <w:vertAlign w:val="superscript"/>
        </w:rPr>
        <w:t>nd</w:t>
      </w:r>
      <w:r w:rsidRPr="00843499">
        <w:rPr>
          <w:i/>
        </w:rPr>
        <w:t xml:space="preserve"> Country with Worst Displacement in 2016 – Report,</w:t>
      </w:r>
      <w:r>
        <w:t xml:space="preserve"> </w:t>
      </w:r>
      <w:proofErr w:type="spellStart"/>
      <w:r w:rsidRPr="00843499">
        <w:t>PhilStar</w:t>
      </w:r>
      <w:proofErr w:type="spellEnd"/>
      <w:r>
        <w:t xml:space="preserve"> (23 May 2017), accessed 22 January 2018 &lt;</w:t>
      </w:r>
      <w:r w:rsidRPr="008D0015">
        <w:t>http://www.philstar.com/headlines/2017/05/23/1702815/philippines-2nd-country-worst-displacement-2016-report</w:t>
      </w:r>
      <w:r>
        <w:t xml:space="preserve">&gt;; International Federation of Red Cross and Red Crescent Societies, </w:t>
      </w:r>
      <w:r>
        <w:rPr>
          <w:i/>
        </w:rPr>
        <w:t>Information Bulletin Philippines: Typhoon Nock-Ten</w:t>
      </w:r>
      <w:r>
        <w:t xml:space="preserve"> (27 December 2016), accessed 22 January 2018 &lt;</w:t>
      </w:r>
      <w:r w:rsidRPr="008D0015">
        <w:t>http://www.ifrc.org/docs/Appeals/16/IBPHTY271216.pdf</w:t>
      </w:r>
      <w:r>
        <w:t>&gt;</w:t>
      </w:r>
    </w:p>
  </w:footnote>
  <w:footnote w:id="182">
    <w:p w:rsidR="00C373AC" w:rsidRDefault="00C373AC" w:rsidP="00AF2356">
      <w:pPr>
        <w:pStyle w:val="FootnoteText"/>
      </w:pPr>
      <w:r>
        <w:rPr>
          <w:rStyle w:val="FootnoteReference"/>
        </w:rPr>
        <w:footnoteRef/>
      </w:r>
      <w:r>
        <w:t xml:space="preserve"> Oxfam, </w:t>
      </w:r>
      <w:r>
        <w:rPr>
          <w:i/>
        </w:rPr>
        <w:t xml:space="preserve">Super Typhoon </w:t>
      </w:r>
      <w:proofErr w:type="spellStart"/>
      <w:r>
        <w:rPr>
          <w:i/>
        </w:rPr>
        <w:t>Haima</w:t>
      </w:r>
      <w:proofErr w:type="spellEnd"/>
      <w:r>
        <w:rPr>
          <w:i/>
        </w:rPr>
        <w:t xml:space="preserve"> Aftermath: Oxfam Assesses Needs on the Ground</w:t>
      </w:r>
      <w:r>
        <w:t xml:space="preserve"> (21 October 2016), accessed 22 January 2018 &lt;</w:t>
      </w:r>
      <w:r w:rsidRPr="008D0015">
        <w:t>https://philippines.oxfam.org/press_release/super-typhoon-haima-aftermath-oxfam-assesses-needs-ground</w:t>
      </w:r>
      <w:r>
        <w:t xml:space="preserve">&gt;; </w:t>
      </w:r>
      <w:proofErr w:type="spellStart"/>
      <w:r>
        <w:t>ReliefWeb</w:t>
      </w:r>
      <w:proofErr w:type="spellEnd"/>
      <w:r>
        <w:t xml:space="preserve">, </w:t>
      </w:r>
      <w:r>
        <w:rPr>
          <w:i/>
        </w:rPr>
        <w:t xml:space="preserve">Typhoon </w:t>
      </w:r>
      <w:proofErr w:type="spellStart"/>
      <w:r>
        <w:rPr>
          <w:i/>
        </w:rPr>
        <w:t>Haima</w:t>
      </w:r>
      <w:proofErr w:type="spellEnd"/>
      <w:r>
        <w:t xml:space="preserve"> (October 2016), accessed 22 January 2017 &lt;</w:t>
      </w:r>
      <w:r w:rsidRPr="008D0015">
        <w:t>http://reliefweb.int/disaster/tc-2016-000110-phl</w:t>
      </w:r>
      <w:r>
        <w:t>&gt;.</w:t>
      </w:r>
    </w:p>
  </w:footnote>
  <w:footnote w:id="183">
    <w:p w:rsidR="00C373AC" w:rsidRDefault="00C373AC">
      <w:pPr>
        <w:pStyle w:val="FootnoteText"/>
      </w:pPr>
      <w:r>
        <w:rPr>
          <w:rStyle w:val="FootnoteReference"/>
        </w:rPr>
        <w:footnoteRef/>
      </w:r>
      <w:r>
        <w:t xml:space="preserve"> Ibid.</w:t>
      </w:r>
    </w:p>
  </w:footnote>
  <w:footnote w:id="184">
    <w:p w:rsidR="00C373AC" w:rsidRDefault="00C373AC">
      <w:pPr>
        <w:pStyle w:val="FootnoteText"/>
      </w:pPr>
      <w:r>
        <w:rPr>
          <w:rStyle w:val="FootnoteReference"/>
        </w:rPr>
        <w:footnoteRef/>
      </w:r>
      <w:r>
        <w:t xml:space="preserve"> </w:t>
      </w:r>
      <w:proofErr w:type="gramStart"/>
      <w:r>
        <w:t xml:space="preserve">Above n </w:t>
      </w:r>
      <w:r>
        <w:fldChar w:fldCharType="begin"/>
      </w:r>
      <w:r>
        <w:instrText xml:space="preserve"> NOTEREF _Ref504463693 \h </w:instrText>
      </w:r>
      <w:r>
        <w:fldChar w:fldCharType="separate"/>
      </w:r>
      <w:r>
        <w:t>177</w:t>
      </w:r>
      <w:r>
        <w:fldChar w:fldCharType="end"/>
      </w:r>
      <w:r>
        <w:t>, p 4.</w:t>
      </w:r>
      <w:proofErr w:type="gramEnd"/>
    </w:p>
  </w:footnote>
  <w:footnote w:id="185">
    <w:p w:rsidR="00C373AC" w:rsidRDefault="00C373AC">
      <w:pPr>
        <w:pStyle w:val="FootnoteText"/>
      </w:pPr>
      <w:r>
        <w:rPr>
          <w:rStyle w:val="FootnoteReference"/>
        </w:rPr>
        <w:footnoteRef/>
      </w:r>
      <w:r>
        <w:t xml:space="preserve"> </w:t>
      </w:r>
      <w:proofErr w:type="gramStart"/>
      <w:r>
        <w:t>Ibid p 10.</w:t>
      </w:r>
      <w:proofErr w:type="gramEnd"/>
    </w:p>
  </w:footnote>
  <w:footnote w:id="186">
    <w:p w:rsidR="00C373AC" w:rsidRPr="007239C6" w:rsidRDefault="00C373AC">
      <w:pPr>
        <w:pStyle w:val="FootnoteText"/>
      </w:pPr>
      <w:r>
        <w:rPr>
          <w:rStyle w:val="FootnoteReference"/>
        </w:rPr>
        <w:footnoteRef/>
      </w:r>
      <w:r>
        <w:t xml:space="preserve"> Internal Displacement Monitoring Centre and Norwegian Refugee Council, </w:t>
      </w:r>
      <w:r>
        <w:rPr>
          <w:i/>
        </w:rPr>
        <w:t>Philippines: Displacement Increases as Mindanao's Peace Process Stumbles On: A Profile of the Internal Displacement Situation</w:t>
      </w:r>
      <w:r>
        <w:t xml:space="preserve"> (19 August 2008), accessed 22 January 2017 &lt;</w:t>
      </w:r>
      <w:r w:rsidRPr="008D0015">
        <w:t>http://www.refworld.org/pdfid/48abc1f72.pdf</w:t>
      </w:r>
      <w:r>
        <w:t>&gt;.</w:t>
      </w:r>
    </w:p>
  </w:footnote>
  <w:footnote w:id="187">
    <w:p w:rsidR="00C373AC" w:rsidRDefault="00C373AC">
      <w:pPr>
        <w:pStyle w:val="FootnoteText"/>
      </w:pPr>
      <w:r>
        <w:rPr>
          <w:rStyle w:val="FootnoteReference"/>
        </w:rPr>
        <w:footnoteRef/>
      </w:r>
      <w:r>
        <w:t xml:space="preserve"> </w:t>
      </w:r>
      <w:proofErr w:type="spellStart"/>
      <w:proofErr w:type="gramStart"/>
      <w:r>
        <w:t>IntelligencerPost</w:t>
      </w:r>
      <w:proofErr w:type="spellEnd"/>
      <w:r>
        <w:t xml:space="preserve">, </w:t>
      </w:r>
      <w:r w:rsidRPr="00FC5408">
        <w:rPr>
          <w:i/>
        </w:rPr>
        <w:t>19 Civilians Killed, 85,000 Displaced as Philippines Continues to Battle Islamist Militants in Mindanao</w:t>
      </w:r>
      <w:r>
        <w:t xml:space="preserve"> (21 August 2017), accessed 22 January 2018</w:t>
      </w:r>
      <w:r>
        <w:rPr>
          <w:i/>
        </w:rPr>
        <w:t xml:space="preserve"> &lt;</w:t>
      </w:r>
      <w:r w:rsidRPr="008D0015">
        <w:t>http://www.intelligencerpost.com/19-civilians-killed-85000-displaced-philippines-continues-battle-islamist-militants-mindanao/</w:t>
      </w:r>
      <w:r>
        <w:t>&gt;.</w:t>
      </w:r>
      <w:proofErr w:type="gramEnd"/>
      <w:r>
        <w:t xml:space="preserve"> </w:t>
      </w:r>
    </w:p>
  </w:footnote>
  <w:footnote w:id="188">
    <w:p w:rsidR="00C373AC" w:rsidRPr="00BF0A24" w:rsidRDefault="00C373AC">
      <w:pPr>
        <w:pStyle w:val="FootnoteText"/>
      </w:pPr>
      <w:r>
        <w:rPr>
          <w:rStyle w:val="FootnoteReference"/>
        </w:rPr>
        <w:footnoteRef/>
      </w:r>
      <w:r>
        <w:t xml:space="preserve"> </w:t>
      </w:r>
      <w:r w:rsidRPr="005C0D62">
        <w:t xml:space="preserve">See, </w:t>
      </w:r>
      <w:proofErr w:type="spellStart"/>
      <w:r w:rsidRPr="005C0D62">
        <w:t>eg</w:t>
      </w:r>
      <w:proofErr w:type="spellEnd"/>
      <w:r w:rsidRPr="005C0D62">
        <w:t xml:space="preserve">, </w:t>
      </w:r>
      <w:r>
        <w:t xml:space="preserve">Philippines </w:t>
      </w:r>
      <w:r>
        <w:rPr>
          <w:lang w:val="en-PH"/>
        </w:rPr>
        <w:t>Proclamation No 922, s 1992; Proclamation No 1354, s 1974</w:t>
      </w:r>
      <w:r w:rsidRPr="005C0D62">
        <w:t xml:space="preserve">; </w:t>
      </w:r>
      <w:r w:rsidRPr="005C0D62">
        <w:rPr>
          <w:lang w:val="en-PH"/>
        </w:rPr>
        <w:t>Proclamation No</w:t>
      </w:r>
      <w:r>
        <w:rPr>
          <w:lang w:val="en-PH"/>
        </w:rPr>
        <w:t xml:space="preserve"> 375, s 1956.</w:t>
      </w:r>
    </w:p>
  </w:footnote>
  <w:footnote w:id="189">
    <w:p w:rsidR="00C373AC" w:rsidRDefault="00C373AC" w:rsidP="00671317">
      <w:pPr>
        <w:pStyle w:val="FootnoteText"/>
      </w:pPr>
      <w:r>
        <w:rPr>
          <w:rStyle w:val="FootnoteReference"/>
        </w:rPr>
        <w:footnoteRef/>
      </w:r>
      <w:r>
        <w:t xml:space="preserve"> Section 3(t) of UDHA defines 'underprivileged and homeless citizens' to relevantly include '…individuals or families residing in urban and </w:t>
      </w:r>
      <w:proofErr w:type="spellStart"/>
      <w:r>
        <w:t>urbanisable</w:t>
      </w:r>
      <w:proofErr w:type="spellEnd"/>
      <w:r>
        <w:t xml:space="preserve"> areas whose income or combined household income falls within the poverty threshold as defined by the National Economic and Development Authority and who do not own housing facilities' including 'those who live in makeshift dwelling units and do not enjoy security of tenure.'</w:t>
      </w:r>
    </w:p>
  </w:footnote>
  <w:footnote w:id="190">
    <w:p w:rsidR="00C373AC" w:rsidRDefault="00C373AC" w:rsidP="00671317">
      <w:pPr>
        <w:pStyle w:val="FootnoteText"/>
      </w:pPr>
      <w:r>
        <w:rPr>
          <w:rStyle w:val="FootnoteReference"/>
        </w:rPr>
        <w:footnoteRef/>
      </w:r>
      <w:r>
        <w:t xml:space="preserve"> </w:t>
      </w:r>
      <w:proofErr w:type="gramStart"/>
      <w:r>
        <w:t>Formally entitled the 'Implementing rules and regulations to ensure the proper and humane relocation and resettlement procedures mandated by the Urban Development and Housing Act of 1992.'</w:t>
      </w:r>
      <w:proofErr w:type="gramEnd"/>
    </w:p>
  </w:footnote>
  <w:footnote w:id="191">
    <w:p w:rsidR="00C373AC" w:rsidRDefault="00C373AC" w:rsidP="00671317">
      <w:pPr>
        <w:pStyle w:val="FootnoteText"/>
      </w:pPr>
      <w:r>
        <w:rPr>
          <w:rStyle w:val="FootnoteReference"/>
        </w:rPr>
        <w:footnoteRef/>
      </w:r>
      <w:r>
        <w:t xml:space="preserve"> See, e.g., Demolition Watch, accessed 22 January 2018 &lt;</w:t>
      </w:r>
      <w:r w:rsidRPr="008D0015">
        <w:t>https://demolitionwatch.wordpress.com</w:t>
      </w:r>
      <w:r>
        <w:t>&gt;; Asian Human Rights Commission, accessed 22 January 2018 &lt;</w:t>
      </w:r>
      <w:r w:rsidRPr="008D0015">
        <w:t>http://www.humanrights.asia/news/hunger-alerts/AHRC-HAU-002-2015</w:t>
      </w:r>
      <w:r>
        <w:t>&gt;.</w:t>
      </w:r>
    </w:p>
  </w:footnote>
  <w:footnote w:id="192">
    <w:p w:rsidR="00C373AC" w:rsidRDefault="00C373AC" w:rsidP="00671317">
      <w:pPr>
        <w:pStyle w:val="FootnoteText"/>
      </w:pPr>
      <w:r>
        <w:rPr>
          <w:rStyle w:val="FootnoteReference"/>
        </w:rPr>
        <w:footnoteRef/>
      </w:r>
      <w:r>
        <w:t xml:space="preserve"> See Centre on Housing Rights and Evictions (12 May 2011), accessed 22 January 2018 &lt;</w:t>
      </w:r>
      <w:r w:rsidRPr="008D0015">
        <w:t>http://www.habitants.org/news/local_info/philippines_demolitions_and_forced_evictions_in_laperal_makati_appear_to_constitute_breaches_of_international_law</w:t>
      </w:r>
      <w:r>
        <w:t>&gt;.</w:t>
      </w:r>
    </w:p>
  </w:footnote>
  <w:footnote w:id="193">
    <w:p w:rsidR="00C373AC" w:rsidRDefault="00C373AC" w:rsidP="00671317">
      <w:pPr>
        <w:pStyle w:val="FootnoteText"/>
      </w:pPr>
      <w:r>
        <w:rPr>
          <w:rStyle w:val="FootnoteReference"/>
        </w:rPr>
        <w:footnoteRef/>
      </w:r>
      <w:r>
        <w:t xml:space="preserve"> Other instances include: the forced demolition in San Roque, North Triangle in Quezon City on September 23, 2010; the </w:t>
      </w:r>
      <w:proofErr w:type="spellStart"/>
      <w:r>
        <w:t>Silverio</w:t>
      </w:r>
      <w:proofErr w:type="spellEnd"/>
      <w:r>
        <w:t xml:space="preserve"> Compound in Makati City on April 23, 2012; the Guatemala Compound in Makati City on September 24, 2012; the BIR Road in Quezon City on November 28, 2011 and October 15, 2012; and </w:t>
      </w:r>
      <w:proofErr w:type="spellStart"/>
      <w:r>
        <w:t>Agham</w:t>
      </w:r>
      <w:proofErr w:type="spellEnd"/>
      <w:r>
        <w:t xml:space="preserve"> Road in San Roque, North Triangle on January 27 and 28, 2014. See Myra </w:t>
      </w:r>
      <w:proofErr w:type="spellStart"/>
      <w:r>
        <w:t>Mabilin</w:t>
      </w:r>
      <w:proofErr w:type="spellEnd"/>
      <w:r>
        <w:t xml:space="preserve">, </w:t>
      </w:r>
      <w:r w:rsidRPr="00E2174A">
        <w:rPr>
          <w:i/>
        </w:rPr>
        <w:t>Claiming the City: Civil Society Mobilisation by the Urban Poor</w:t>
      </w:r>
      <w:r>
        <w:t xml:space="preserve"> (2014) Heidi </w:t>
      </w:r>
      <w:proofErr w:type="spellStart"/>
      <w:r>
        <w:t>Moksnes</w:t>
      </w:r>
      <w:proofErr w:type="spellEnd"/>
      <w:r>
        <w:t xml:space="preserve"> and Mia </w:t>
      </w:r>
      <w:proofErr w:type="spellStart"/>
      <w:r>
        <w:t>Melin</w:t>
      </w:r>
      <w:proofErr w:type="spellEnd"/>
      <w:r>
        <w:t xml:space="preserve"> (</w:t>
      </w:r>
      <w:proofErr w:type="spellStart"/>
      <w:proofErr w:type="gramStart"/>
      <w:r>
        <w:t>eds</w:t>
      </w:r>
      <w:proofErr w:type="spellEnd"/>
      <w:proofErr w:type="gramEnd"/>
      <w:r>
        <w:t xml:space="preserve">), </w:t>
      </w:r>
      <w:r w:rsidRPr="00E2174A">
        <w:t>Uppsala: Uppsala University</w:t>
      </w:r>
      <w:r>
        <w:t>, p 136.</w:t>
      </w:r>
    </w:p>
  </w:footnote>
  <w:footnote w:id="194">
    <w:p w:rsidR="00C373AC" w:rsidRDefault="00C373AC" w:rsidP="00671317">
      <w:pPr>
        <w:pStyle w:val="FootnoteText"/>
      </w:pPr>
      <w:r>
        <w:rPr>
          <w:rStyle w:val="FootnoteReference"/>
        </w:rPr>
        <w:footnoteRef/>
      </w:r>
      <w:r>
        <w:t xml:space="preserve"> </w:t>
      </w:r>
      <w:proofErr w:type="gramStart"/>
      <w:r>
        <w:t>Individual Complaint to the Human Rights Committee under the Optional Protocol to the International Covenant on Civil and Political Rights (3 December 2012), accessed 22 January 2018 &lt;</w:t>
      </w:r>
      <w:r w:rsidRPr="008D0015">
        <w:t>http://globalinitiative-escr.org/wp-content/uploads/2015/02/150219-Philippines-Complaint-Corazon-de-Jesus.pdf</w:t>
      </w:r>
      <w:r>
        <w:t>&gt; (</w:t>
      </w:r>
      <w:r>
        <w:rPr>
          <w:b/>
          <w:i/>
        </w:rPr>
        <w:t>Corazon de Jesus Complaint</w:t>
      </w:r>
      <w:r>
        <w:t>).</w:t>
      </w:r>
      <w:proofErr w:type="gramEnd"/>
    </w:p>
  </w:footnote>
  <w:footnote w:id="195">
    <w:p w:rsidR="00C373AC" w:rsidRDefault="00C373AC" w:rsidP="00671317">
      <w:pPr>
        <w:pStyle w:val="FootnoteText"/>
      </w:pPr>
      <w:r>
        <w:rPr>
          <w:rStyle w:val="FootnoteReference"/>
        </w:rPr>
        <w:footnoteRef/>
      </w:r>
      <w:r>
        <w:t xml:space="preserve"> </w:t>
      </w:r>
      <w:proofErr w:type="gramStart"/>
      <w:r>
        <w:t>With the assistance of the Western New England University School of Law International Human Rights Clinic and Defend Job Philippines.</w:t>
      </w:r>
      <w:proofErr w:type="gramEnd"/>
    </w:p>
  </w:footnote>
  <w:footnote w:id="196">
    <w:p w:rsidR="00C373AC" w:rsidRDefault="00C373AC" w:rsidP="00671317">
      <w:pPr>
        <w:pStyle w:val="FootnoteText"/>
      </w:pPr>
      <w:r>
        <w:rPr>
          <w:rStyle w:val="FootnoteReference"/>
        </w:rPr>
        <w:footnoteRef/>
      </w:r>
      <w:r>
        <w:t xml:space="preserve"> Corazon de Jesus Complaint, paragraphs 4-10.</w:t>
      </w:r>
    </w:p>
  </w:footnote>
  <w:footnote w:id="197">
    <w:p w:rsidR="00C373AC" w:rsidRDefault="00C373AC">
      <w:pPr>
        <w:pStyle w:val="FootnoteText"/>
      </w:pPr>
      <w:r>
        <w:rPr>
          <w:rStyle w:val="FootnoteReference"/>
        </w:rPr>
        <w:footnoteRef/>
      </w:r>
      <w:r>
        <w:t xml:space="preserve"> For further discussion on Filipino tenure law and inadequate institutions during disasters, see Melisa Jane B </w:t>
      </w:r>
      <w:proofErr w:type="spellStart"/>
      <w:r>
        <w:t>Comafay</w:t>
      </w:r>
      <w:proofErr w:type="spellEnd"/>
      <w:r>
        <w:t xml:space="preserve"> and Maria </w:t>
      </w:r>
      <w:proofErr w:type="spellStart"/>
      <w:r>
        <w:t>Veronia</w:t>
      </w:r>
      <w:proofErr w:type="spellEnd"/>
      <w:r>
        <w:t xml:space="preserve"> </w:t>
      </w:r>
      <w:proofErr w:type="spellStart"/>
      <w:r>
        <w:t>Arreza-Archillaare</w:t>
      </w:r>
      <w:proofErr w:type="spellEnd"/>
      <w:r>
        <w:t xml:space="preserve">, </w:t>
      </w:r>
      <w:r w:rsidRPr="00E2174A">
        <w:rPr>
          <w:i/>
        </w:rPr>
        <w:t xml:space="preserve">We Reap the </w:t>
      </w:r>
      <w:proofErr w:type="spellStart"/>
      <w:r w:rsidRPr="00E2174A">
        <w:rPr>
          <w:i/>
        </w:rPr>
        <w:t>Disbenefits</w:t>
      </w:r>
      <w:proofErr w:type="spellEnd"/>
      <w:r w:rsidRPr="00E2174A">
        <w:rPr>
          <w:i/>
        </w:rPr>
        <w:t xml:space="preserve"> of our Inadequate Institutions </w:t>
      </w:r>
      <w:proofErr w:type="gramStart"/>
      <w:r w:rsidRPr="00E2174A">
        <w:rPr>
          <w:i/>
        </w:rPr>
        <w:t>During</w:t>
      </w:r>
      <w:proofErr w:type="gramEnd"/>
      <w:r w:rsidRPr="00E2174A">
        <w:rPr>
          <w:i/>
        </w:rPr>
        <w:t xml:space="preserve"> Disasters: A Closer Look at House, Land and Property Rights (HLP) Issues in the Context of </w:t>
      </w:r>
      <w:proofErr w:type="spellStart"/>
      <w:r w:rsidRPr="00E2174A">
        <w:rPr>
          <w:i/>
        </w:rPr>
        <w:t>Marawi</w:t>
      </w:r>
      <w:proofErr w:type="spellEnd"/>
      <w:r>
        <w:t>.</w:t>
      </w:r>
    </w:p>
  </w:footnote>
  <w:footnote w:id="198">
    <w:p w:rsidR="00C373AC" w:rsidRDefault="00C373AC" w:rsidP="00671317">
      <w:pPr>
        <w:pStyle w:val="FootnoteText"/>
      </w:pPr>
      <w:r>
        <w:rPr>
          <w:rStyle w:val="FootnoteReference"/>
        </w:rPr>
        <w:footnoteRef/>
      </w:r>
      <w:r>
        <w:t xml:space="preserve"> </w:t>
      </w:r>
      <w:proofErr w:type="gramStart"/>
      <w:r>
        <w:t xml:space="preserve">Ricardo S </w:t>
      </w:r>
      <w:proofErr w:type="spellStart"/>
      <w:r>
        <w:t>Lazo</w:t>
      </w:r>
      <w:proofErr w:type="spellEnd"/>
      <w:r>
        <w:t xml:space="preserve">, </w:t>
      </w:r>
      <w:r>
        <w:rPr>
          <w:i/>
        </w:rPr>
        <w:t xml:space="preserve">Philippines Governance and the 1987 Constitution </w:t>
      </w:r>
      <w:r>
        <w:t>(Rex Book Store, Manila, Philippines, 2006), p 104.</w:t>
      </w:r>
      <w:proofErr w:type="gramEnd"/>
    </w:p>
  </w:footnote>
  <w:footnote w:id="199">
    <w:p w:rsidR="00C373AC" w:rsidRDefault="00C373AC" w:rsidP="00671317">
      <w:pPr>
        <w:pStyle w:val="FootnoteText"/>
      </w:pPr>
      <w:r>
        <w:rPr>
          <w:rStyle w:val="FootnoteReference"/>
        </w:rPr>
        <w:footnoteRef/>
      </w:r>
      <w:r>
        <w:t xml:space="preserve"> Ibid.</w:t>
      </w:r>
    </w:p>
  </w:footnote>
  <w:footnote w:id="200">
    <w:p w:rsidR="00C373AC" w:rsidRDefault="00C373AC" w:rsidP="00671317">
      <w:pPr>
        <w:pStyle w:val="FootnoteText"/>
      </w:pPr>
      <w:r>
        <w:rPr>
          <w:rStyle w:val="FootnoteReference"/>
        </w:rPr>
        <w:footnoteRef/>
      </w:r>
      <w:r>
        <w:t xml:space="preserve"> Ibid.</w:t>
      </w:r>
    </w:p>
  </w:footnote>
  <w:footnote w:id="201">
    <w:p w:rsidR="00C373AC" w:rsidRDefault="00C373AC" w:rsidP="00671317">
      <w:pPr>
        <w:pStyle w:val="FootnoteText"/>
      </w:pPr>
      <w:r>
        <w:rPr>
          <w:rStyle w:val="FootnoteReference"/>
        </w:rPr>
        <w:footnoteRef/>
      </w:r>
      <w:r>
        <w:t xml:space="preserve"> Ibid.</w:t>
      </w:r>
    </w:p>
  </w:footnote>
  <w:footnote w:id="202">
    <w:p w:rsidR="00C373AC" w:rsidRDefault="00C373AC" w:rsidP="00671317">
      <w:pPr>
        <w:pStyle w:val="FootnoteText"/>
      </w:pPr>
      <w:r>
        <w:rPr>
          <w:rStyle w:val="FootnoteReference"/>
        </w:rPr>
        <w:footnoteRef/>
      </w:r>
      <w:r>
        <w:t xml:space="preserve"> See </w:t>
      </w:r>
      <w:proofErr w:type="gramStart"/>
      <w:r w:rsidRPr="009059BF">
        <w:rPr>
          <w:i/>
        </w:rPr>
        <w:t>The</w:t>
      </w:r>
      <w:proofErr w:type="gramEnd"/>
      <w:r w:rsidRPr="009059BF">
        <w:rPr>
          <w:i/>
        </w:rPr>
        <w:t xml:space="preserve"> Right-of-Way Act of 2015</w:t>
      </w:r>
      <w:r>
        <w:t xml:space="preserve"> (Republic Act 10752).</w:t>
      </w:r>
    </w:p>
  </w:footnote>
  <w:footnote w:id="203">
    <w:p w:rsidR="00C373AC" w:rsidRDefault="00C373AC" w:rsidP="00671317">
      <w:pPr>
        <w:pStyle w:val="FootnoteText"/>
      </w:pPr>
      <w:r>
        <w:rPr>
          <w:rStyle w:val="FootnoteReference"/>
        </w:rPr>
        <w:footnoteRef/>
      </w:r>
      <w:r>
        <w:t xml:space="preserve"> </w:t>
      </w:r>
      <w:r>
        <w:rPr>
          <w:i/>
        </w:rPr>
        <w:t>Republic of Philippines v. CA,</w:t>
      </w:r>
      <w:r>
        <w:t xml:space="preserve"> G.G. No. 146587, 2 July 2002.</w:t>
      </w:r>
    </w:p>
  </w:footnote>
  <w:footnote w:id="204">
    <w:p w:rsidR="00C373AC" w:rsidRDefault="00C373AC" w:rsidP="00671317">
      <w:pPr>
        <w:pStyle w:val="FootnoteText"/>
      </w:pPr>
      <w:r>
        <w:rPr>
          <w:rStyle w:val="FootnoteReference"/>
        </w:rPr>
        <w:footnoteRef/>
      </w:r>
      <w:r>
        <w:t xml:space="preserve"> Alice Thomas, </w:t>
      </w:r>
      <w:r w:rsidRPr="00E2174A">
        <w:rPr>
          <w:i/>
        </w:rPr>
        <w:t>Resettlement in the wake of Typhoon Haiyan in the Philippines: A strategy to mitigate risk or a risky strategy?</w:t>
      </w:r>
      <w:r>
        <w:t xml:space="preserve"> (2015) </w:t>
      </w:r>
      <w:r w:rsidRPr="00E2174A">
        <w:t>Project on Internal Displacement, Brookings Institution</w:t>
      </w:r>
      <w:r w:rsidRPr="005E71AE">
        <w:t>,</w:t>
      </w:r>
      <w:r>
        <w:rPr>
          <w:i/>
        </w:rPr>
        <w:t xml:space="preserve"> </w:t>
      </w:r>
      <w:r>
        <w:t>pp 7-8.</w:t>
      </w:r>
    </w:p>
  </w:footnote>
  <w:footnote w:id="205">
    <w:p w:rsidR="00C373AC" w:rsidRDefault="00C373AC" w:rsidP="00671317">
      <w:pPr>
        <w:pStyle w:val="FootnoteText"/>
      </w:pPr>
      <w:r>
        <w:rPr>
          <w:rStyle w:val="FootnoteReference"/>
        </w:rPr>
        <w:footnoteRef/>
      </w:r>
      <w:r>
        <w:t xml:space="preserve"> </w:t>
      </w:r>
      <w:proofErr w:type="gramStart"/>
      <w:r>
        <w:t xml:space="preserve">Above n </w:t>
      </w:r>
      <w:r>
        <w:fldChar w:fldCharType="begin"/>
      </w:r>
      <w:r>
        <w:instrText xml:space="preserve"> NOTEREF _Ref504464779 \h </w:instrText>
      </w:r>
      <w:r>
        <w:fldChar w:fldCharType="separate"/>
      </w:r>
      <w:r>
        <w:t>31</w:t>
      </w:r>
      <w:r>
        <w:fldChar w:fldCharType="end"/>
      </w:r>
      <w:r>
        <w:t>, p 25.</w:t>
      </w:r>
      <w:proofErr w:type="gramEnd"/>
    </w:p>
  </w:footnote>
  <w:footnote w:id="206">
    <w:p w:rsidR="00C373AC" w:rsidRDefault="00C373AC" w:rsidP="00671317">
      <w:pPr>
        <w:pStyle w:val="FootnoteText"/>
      </w:pPr>
      <w:r>
        <w:rPr>
          <w:rStyle w:val="FootnoteReference"/>
        </w:rPr>
        <w:footnoteRef/>
      </w:r>
      <w:r>
        <w:t xml:space="preserve"> See the progress of the Bill at https://www.senate.gov.ph/lis/bill_res.aspx?congress=17&amp;q=SBN-1142.</w:t>
      </w:r>
    </w:p>
  </w:footnote>
  <w:footnote w:id="207">
    <w:p w:rsidR="00C373AC" w:rsidRDefault="00C373AC" w:rsidP="00671317">
      <w:pPr>
        <w:pStyle w:val="FootnoteText"/>
      </w:pPr>
      <w:r>
        <w:rPr>
          <w:rStyle w:val="FootnoteReference"/>
        </w:rPr>
        <w:footnoteRef/>
      </w:r>
      <w:r>
        <w:t xml:space="preserve"> UN Committee on Economic, Social and Cultural Rights (CESCR),</w:t>
      </w:r>
      <w:r>
        <w:rPr>
          <w:i/>
        </w:rPr>
        <w:t xml:space="preserve"> Concluding observations on the combined fifth and sixth periodic reports of the Philippines</w:t>
      </w:r>
      <w:r>
        <w:t xml:space="preserve"> (26 October 2016) E/C.12/PHL/CO/5-6, p 49.</w:t>
      </w:r>
    </w:p>
  </w:footnote>
  <w:footnote w:id="208">
    <w:p w:rsidR="00C373AC" w:rsidRDefault="00C373AC" w:rsidP="00671317">
      <w:pPr>
        <w:pStyle w:val="FootnoteText"/>
      </w:pPr>
      <w:r>
        <w:rPr>
          <w:rStyle w:val="FootnoteReference"/>
        </w:rPr>
        <w:footnoteRef/>
      </w:r>
      <w:r>
        <w:t xml:space="preserve"> See the ratification status at http://tbinternet.ohchr.org/_layouts/TreatyBodyExternal/Treaty.aspx?CountryID=137&amp;Lang=EN.</w:t>
      </w:r>
    </w:p>
  </w:footnote>
  <w:footnote w:id="209">
    <w:p w:rsidR="00C373AC" w:rsidRDefault="00C373AC" w:rsidP="00671317">
      <w:pPr>
        <w:pStyle w:val="FootnoteText"/>
      </w:pPr>
      <w:r>
        <w:rPr>
          <w:rStyle w:val="FootnoteReference"/>
        </w:rPr>
        <w:footnoteRef/>
      </w:r>
      <w:r>
        <w:t xml:space="preserve"> </w:t>
      </w:r>
      <w:proofErr w:type="gramStart"/>
      <w:r>
        <w:t xml:space="preserve">Above n </w:t>
      </w:r>
      <w:r>
        <w:fldChar w:fldCharType="begin"/>
      </w:r>
      <w:r>
        <w:instrText xml:space="preserve"> NOTEREF _Ref490638231 \h </w:instrText>
      </w:r>
      <w:r>
        <w:fldChar w:fldCharType="separate"/>
      </w:r>
      <w:r>
        <w:t>198</w:t>
      </w:r>
      <w:r>
        <w:fldChar w:fldCharType="end"/>
      </w:r>
      <w:r>
        <w:t xml:space="preserve">, </w:t>
      </w:r>
      <w:proofErr w:type="spellStart"/>
      <w:r>
        <w:t>pp</w:t>
      </w:r>
      <w:proofErr w:type="spellEnd"/>
      <w:r>
        <w:t xml:space="preserve"> 104-105.</w:t>
      </w:r>
      <w:proofErr w:type="gramEnd"/>
    </w:p>
  </w:footnote>
  <w:footnote w:id="210">
    <w:p w:rsidR="00C373AC" w:rsidRDefault="00C373AC" w:rsidP="00671317">
      <w:pPr>
        <w:pStyle w:val="FootnoteText"/>
      </w:pPr>
      <w:r>
        <w:rPr>
          <w:rStyle w:val="FootnoteReference"/>
        </w:rPr>
        <w:footnoteRef/>
      </w:r>
      <w:r>
        <w:t xml:space="preserve"> Ibid.</w:t>
      </w:r>
    </w:p>
  </w:footnote>
  <w:footnote w:id="211">
    <w:p w:rsidR="00C373AC" w:rsidRDefault="00C373AC" w:rsidP="00671317">
      <w:pPr>
        <w:pStyle w:val="FootnoteText"/>
      </w:pPr>
      <w:r>
        <w:rPr>
          <w:rStyle w:val="FootnoteReference"/>
        </w:rPr>
        <w:footnoteRef/>
      </w:r>
      <w:r>
        <w:t xml:space="preserve"> Ibid.</w:t>
      </w:r>
    </w:p>
  </w:footnote>
  <w:footnote w:id="212">
    <w:p w:rsidR="00C373AC" w:rsidRDefault="00C373AC" w:rsidP="00671317">
      <w:pPr>
        <w:pStyle w:val="FootnoteText"/>
      </w:pPr>
      <w:r>
        <w:rPr>
          <w:rStyle w:val="FootnoteReference"/>
        </w:rPr>
        <w:footnoteRef/>
      </w:r>
      <w:r>
        <w:t xml:space="preserve"> See, e.g., Airport World, </w:t>
      </w:r>
      <w:r w:rsidRPr="008463C0">
        <w:rPr>
          <w:i/>
        </w:rPr>
        <w:t xml:space="preserve">Philippine Government Finally Settles Manila Airport Compensation Dispute </w:t>
      </w:r>
      <w:proofErr w:type="gramStart"/>
      <w:r w:rsidRPr="008463C0">
        <w:rPr>
          <w:i/>
        </w:rPr>
        <w:t>With</w:t>
      </w:r>
      <w:proofErr w:type="gramEnd"/>
      <w:r w:rsidRPr="008463C0">
        <w:rPr>
          <w:i/>
        </w:rPr>
        <w:t xml:space="preserve"> </w:t>
      </w:r>
      <w:proofErr w:type="spellStart"/>
      <w:r w:rsidRPr="008463C0">
        <w:rPr>
          <w:i/>
        </w:rPr>
        <w:t>Piatco</w:t>
      </w:r>
      <w:proofErr w:type="spellEnd"/>
      <w:r>
        <w:t xml:space="preserve"> (11 October 2016), accessed 22 January 2018 &lt;</w:t>
      </w:r>
      <w:r w:rsidRPr="00C16574">
        <w:t>http://www.airport-world.com/news/general-news/5849-philippines-government-finally-settles-manila-airport-compensation-dispute-with-piatco.html</w:t>
      </w:r>
      <w:r>
        <w:t>&gt;.</w:t>
      </w:r>
    </w:p>
  </w:footnote>
  <w:footnote w:id="213">
    <w:p w:rsidR="00C373AC" w:rsidRDefault="00C373AC" w:rsidP="00671317">
      <w:pPr>
        <w:pStyle w:val="FootnoteText"/>
      </w:pPr>
      <w:r>
        <w:rPr>
          <w:rStyle w:val="FootnoteReference"/>
        </w:rPr>
        <w:footnoteRef/>
      </w:r>
      <w:r>
        <w:t xml:space="preserve"> See Global Shelter Cluster, </w:t>
      </w:r>
      <w:r w:rsidRPr="00396D5C">
        <w:rPr>
          <w:i/>
        </w:rPr>
        <w:t xml:space="preserve">Philippines Typhoon </w:t>
      </w:r>
      <w:proofErr w:type="spellStart"/>
      <w:r w:rsidRPr="00396D5C">
        <w:rPr>
          <w:i/>
        </w:rPr>
        <w:t>Haima</w:t>
      </w:r>
      <w:proofErr w:type="spellEnd"/>
      <w:r w:rsidRPr="00396D5C">
        <w:rPr>
          <w:i/>
        </w:rPr>
        <w:t xml:space="preserve"> 2016</w:t>
      </w:r>
      <w:r w:rsidRPr="005E71AE">
        <w:t>,</w:t>
      </w:r>
      <w:r>
        <w:rPr>
          <w:i/>
        </w:rPr>
        <w:t xml:space="preserve"> </w:t>
      </w:r>
      <w:r>
        <w:t>accessed 22 January 2018 &lt;</w:t>
      </w:r>
      <w:r w:rsidRPr="00C16574">
        <w:t>https://www.sheltercluster.org/response/philippines-typhoon-haima-2016</w:t>
      </w:r>
      <w:r>
        <w:t>&gt;.</w:t>
      </w:r>
    </w:p>
  </w:footnote>
  <w:footnote w:id="214">
    <w:p w:rsidR="00C373AC" w:rsidRDefault="00C373AC" w:rsidP="00671317">
      <w:pPr>
        <w:pStyle w:val="FootnoteText"/>
      </w:pPr>
      <w:r>
        <w:rPr>
          <w:rStyle w:val="FootnoteReference"/>
        </w:rPr>
        <w:footnoteRef/>
      </w:r>
      <w:r>
        <w:t xml:space="preserve"> See Global Shelter Cluster, </w:t>
      </w:r>
      <w:r>
        <w:rPr>
          <w:i/>
        </w:rPr>
        <w:t xml:space="preserve">Philippines, </w:t>
      </w:r>
      <w:r>
        <w:t>accessed 22 January 2018 &lt;</w:t>
      </w:r>
      <w:r w:rsidRPr="00C16574">
        <w:t>https://www.shelterclu</w:t>
      </w:r>
      <w:r>
        <w:t>ster.org/asiapacific/philippi&gt;.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3AC" w:rsidRPr="00C8043E" w:rsidRDefault="00C373AC" w:rsidP="00627B32">
    <w:pPr>
      <w:spacing w:line="240" w:lineRule="auto"/>
      <w:jc w:val="right"/>
    </w:pPr>
    <w:r w:rsidRPr="00DD363E">
      <w:rPr>
        <w:noProof/>
        <w:lang w:val="es-EC" w:eastAsia="es-EC"/>
      </w:rPr>
      <w:drawing>
        <wp:anchor distT="0" distB="0" distL="114300" distR="114300" simplePos="0" relativeHeight="251663360" behindDoc="0" locked="0" layoutInCell="1" allowOverlap="1" wp14:anchorId="49086A24" wp14:editId="62DCD047">
          <wp:simplePos x="0" y="0"/>
          <wp:positionH relativeFrom="column">
            <wp:posOffset>-457835</wp:posOffset>
          </wp:positionH>
          <wp:positionV relativeFrom="paragraph">
            <wp:posOffset>48260</wp:posOffset>
          </wp:positionV>
          <wp:extent cx="4067810" cy="509905"/>
          <wp:effectExtent l="0" t="0" r="889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363E">
      <w:rPr>
        <w:noProof/>
        <w:lang w:val="es-EC" w:eastAsia="es-EC"/>
      </w:rPr>
      <w:drawing>
        <wp:anchor distT="0" distB="0" distL="114300" distR="114300" simplePos="0" relativeHeight="251662336" behindDoc="0" locked="0" layoutInCell="1" allowOverlap="1" wp14:anchorId="4C2F0E88" wp14:editId="444D4FF9">
          <wp:simplePos x="0" y="0"/>
          <wp:positionH relativeFrom="column">
            <wp:posOffset>4060190</wp:posOffset>
          </wp:positionH>
          <wp:positionV relativeFrom="paragraph">
            <wp:posOffset>-153670</wp:posOffset>
          </wp:positionV>
          <wp:extent cx="2562225" cy="73279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73AC" w:rsidRPr="002055CC" w:rsidRDefault="00C373AC" w:rsidP="00627B3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3AC" w:rsidRDefault="00C373AC" w:rsidP="00DD363E">
    <w:pPr>
      <w:pStyle w:val="Header"/>
      <w:tabs>
        <w:tab w:val="left" w:pos="3456"/>
      </w:tabs>
    </w:pPr>
    <w:r w:rsidRPr="00DD363E">
      <w:rPr>
        <w:lang w:val="es-EC" w:eastAsia="es-EC"/>
      </w:rPr>
      <w:drawing>
        <wp:anchor distT="0" distB="0" distL="114300" distR="114300" simplePos="0" relativeHeight="251660288" behindDoc="0" locked="0" layoutInCell="1" allowOverlap="1" wp14:anchorId="6501D1C1" wp14:editId="11D8D233">
          <wp:simplePos x="0" y="0"/>
          <wp:positionH relativeFrom="column">
            <wp:posOffset>-446405</wp:posOffset>
          </wp:positionH>
          <wp:positionV relativeFrom="paragraph">
            <wp:posOffset>24130</wp:posOffset>
          </wp:positionV>
          <wp:extent cx="4067810" cy="509905"/>
          <wp:effectExtent l="0" t="0" r="889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009" t="26174" r="5188" b="31543"/>
                  <a:stretch/>
                </pic:blipFill>
                <pic:spPr bwMode="auto">
                  <a:xfrm>
                    <a:off x="0" y="0"/>
                    <a:ext cx="4067810" cy="50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363E">
      <w:rPr>
        <w:lang w:val="es-EC" w:eastAsia="es-EC"/>
      </w:rPr>
      <w:drawing>
        <wp:anchor distT="0" distB="0" distL="114300" distR="114300" simplePos="0" relativeHeight="251659264" behindDoc="0" locked="0" layoutInCell="1" allowOverlap="1" wp14:anchorId="4604B662" wp14:editId="3DD5AEDC">
          <wp:simplePos x="0" y="0"/>
          <wp:positionH relativeFrom="column">
            <wp:posOffset>4071593</wp:posOffset>
          </wp:positionH>
          <wp:positionV relativeFrom="paragraph">
            <wp:posOffset>-177441</wp:posOffset>
          </wp:positionV>
          <wp:extent cx="2562225" cy="73279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9766"/>
                  <a:stretch/>
                </pic:blipFill>
                <pic:spPr bwMode="auto">
                  <a:xfrm>
                    <a:off x="0" y="0"/>
                    <a:ext cx="2562225"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946"/>
      <w:gridCol w:w="2410"/>
    </w:tblGrid>
    <w:tr w:rsidR="00C373AC" w:rsidRPr="00620C38" w:rsidTr="00AB7548">
      <w:trPr>
        <w:trHeight w:hRule="exact" w:val="900"/>
      </w:trPr>
      <w:tc>
        <w:tcPr>
          <w:tcW w:w="6946" w:type="dxa"/>
          <w:vAlign w:val="bottom"/>
        </w:tcPr>
        <w:p w:rsidR="00C373AC" w:rsidRPr="00620C38" w:rsidRDefault="00C373AC" w:rsidP="00620C38">
          <w:pPr>
            <w:spacing w:line="240" w:lineRule="auto"/>
            <w:rPr>
              <w:noProof/>
            </w:rPr>
          </w:pPr>
        </w:p>
      </w:tc>
      <w:tc>
        <w:tcPr>
          <w:tcW w:w="2410" w:type="dxa"/>
          <w:vAlign w:val="bottom"/>
        </w:tcPr>
        <w:p w:rsidR="00C373AC" w:rsidRPr="00620C38" w:rsidRDefault="00C373AC" w:rsidP="00620C38">
          <w:pPr>
            <w:spacing w:line="240" w:lineRule="auto"/>
            <w:jc w:val="center"/>
            <w:rPr>
              <w:noProof/>
            </w:rPr>
          </w:pPr>
          <w:r w:rsidRPr="00620C38">
            <w:rPr>
              <w:noProof/>
              <w:lang w:val="es-EC" w:eastAsia="es-EC"/>
            </w:rPr>
            <w:drawing>
              <wp:inline distT="0" distB="0" distL="0" distR="0" wp14:anchorId="7C68AC87" wp14:editId="56AFB898">
                <wp:extent cx="1442085" cy="132080"/>
                <wp:effectExtent l="0" t="0" r="5715" b="127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rsidR="00C373AC" w:rsidRPr="00620C38" w:rsidRDefault="00C373AC" w:rsidP="00620C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C373AC" w:rsidRPr="0077043A" w:rsidTr="00AB7548">
      <w:trPr>
        <w:trHeight w:hRule="exact" w:val="900"/>
      </w:trPr>
      <w:tc>
        <w:tcPr>
          <w:tcW w:w="6946" w:type="dxa"/>
          <w:vAlign w:val="bottom"/>
        </w:tcPr>
        <w:p w:rsidR="00C373AC" w:rsidRDefault="00C373AC" w:rsidP="00AB7548">
          <w:pPr>
            <w:pStyle w:val="HeaderTitle"/>
          </w:pPr>
        </w:p>
      </w:tc>
      <w:tc>
        <w:tcPr>
          <w:tcW w:w="2410" w:type="dxa"/>
          <w:vAlign w:val="bottom"/>
        </w:tcPr>
        <w:p w:rsidR="00C373AC" w:rsidRPr="006A4582" w:rsidRDefault="00C373AC" w:rsidP="00AB7548">
          <w:pPr>
            <w:pStyle w:val="HeaderTitle"/>
            <w:jc w:val="right"/>
            <w:rPr>
              <w:rFonts w:ascii="Times New Roman" w:hAnsi="Times New Roman"/>
            </w:rPr>
          </w:pPr>
          <w:r>
            <w:rPr>
              <w:rFonts w:ascii="Times New Roman" w:hAnsi="Times New Roman"/>
              <w:lang w:val="es-EC" w:eastAsia="es-EC"/>
            </w:rPr>
            <w:drawing>
              <wp:inline distT="0" distB="0" distL="0" distR="0" wp14:anchorId="2E497B4F" wp14:editId="540C423E">
                <wp:extent cx="1442085" cy="132080"/>
                <wp:effectExtent l="0" t="0" r="5715" b="127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inline>
            </w:drawing>
          </w:r>
        </w:p>
      </w:tc>
    </w:tr>
  </w:tbl>
  <w:p w:rsidR="00C373AC" w:rsidRPr="00620C38" w:rsidRDefault="00C373AC" w:rsidP="00620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B963A84"/>
    <w:multiLevelType w:val="hybridMultilevel"/>
    <w:tmpl w:val="518CBB5A"/>
    <w:lvl w:ilvl="0" w:tplc="0C090017">
      <w:start w:val="1"/>
      <w:numFmt w:val="lowerLetter"/>
      <w:lvlText w:val="%1)"/>
      <w:lvlJc w:val="left"/>
      <w:pPr>
        <w:ind w:left="1902" w:hanging="360"/>
      </w:pPr>
    </w:lvl>
    <w:lvl w:ilvl="1" w:tplc="0C090019" w:tentative="1">
      <w:start w:val="1"/>
      <w:numFmt w:val="lowerLetter"/>
      <w:lvlText w:val="%2."/>
      <w:lvlJc w:val="left"/>
      <w:pPr>
        <w:ind w:left="2622" w:hanging="360"/>
      </w:pPr>
    </w:lvl>
    <w:lvl w:ilvl="2" w:tplc="0C09001B" w:tentative="1">
      <w:start w:val="1"/>
      <w:numFmt w:val="lowerRoman"/>
      <w:lvlText w:val="%3."/>
      <w:lvlJc w:val="right"/>
      <w:pPr>
        <w:ind w:left="3342" w:hanging="180"/>
      </w:pPr>
    </w:lvl>
    <w:lvl w:ilvl="3" w:tplc="0C09000F" w:tentative="1">
      <w:start w:val="1"/>
      <w:numFmt w:val="decimal"/>
      <w:lvlText w:val="%4."/>
      <w:lvlJc w:val="left"/>
      <w:pPr>
        <w:ind w:left="4062" w:hanging="360"/>
      </w:pPr>
    </w:lvl>
    <w:lvl w:ilvl="4" w:tplc="0C090019" w:tentative="1">
      <w:start w:val="1"/>
      <w:numFmt w:val="lowerLetter"/>
      <w:lvlText w:val="%5."/>
      <w:lvlJc w:val="left"/>
      <w:pPr>
        <w:ind w:left="4782" w:hanging="360"/>
      </w:pPr>
    </w:lvl>
    <w:lvl w:ilvl="5" w:tplc="0C09001B" w:tentative="1">
      <w:start w:val="1"/>
      <w:numFmt w:val="lowerRoman"/>
      <w:lvlText w:val="%6."/>
      <w:lvlJc w:val="right"/>
      <w:pPr>
        <w:ind w:left="5502" w:hanging="180"/>
      </w:pPr>
    </w:lvl>
    <w:lvl w:ilvl="6" w:tplc="0C09000F" w:tentative="1">
      <w:start w:val="1"/>
      <w:numFmt w:val="decimal"/>
      <w:lvlText w:val="%7."/>
      <w:lvlJc w:val="left"/>
      <w:pPr>
        <w:ind w:left="6222" w:hanging="360"/>
      </w:pPr>
    </w:lvl>
    <w:lvl w:ilvl="7" w:tplc="0C090019" w:tentative="1">
      <w:start w:val="1"/>
      <w:numFmt w:val="lowerLetter"/>
      <w:lvlText w:val="%8."/>
      <w:lvlJc w:val="left"/>
      <w:pPr>
        <w:ind w:left="6942" w:hanging="360"/>
      </w:pPr>
    </w:lvl>
    <w:lvl w:ilvl="8" w:tplc="0C09001B" w:tentative="1">
      <w:start w:val="1"/>
      <w:numFmt w:val="lowerRoman"/>
      <w:lvlText w:val="%9."/>
      <w:lvlJc w:val="right"/>
      <w:pPr>
        <w:ind w:left="7662" w:hanging="180"/>
      </w:pPr>
    </w:lvl>
  </w:abstractNum>
  <w:abstractNum w:abstractNumId="2">
    <w:nsid w:val="0CF542C5"/>
    <w:multiLevelType w:val="hybridMultilevel"/>
    <w:tmpl w:val="AA44A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6917C1C"/>
    <w:multiLevelType w:val="hybridMultilevel"/>
    <w:tmpl w:val="103AEA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9C55B7B"/>
    <w:multiLevelType w:val="hybridMultilevel"/>
    <w:tmpl w:val="A26229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4214097"/>
    <w:multiLevelType w:val="hybridMultilevel"/>
    <w:tmpl w:val="12FCB7D6"/>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7">
    <w:nsid w:val="33340884"/>
    <w:multiLevelType w:val="hybridMultilevel"/>
    <w:tmpl w:val="E62A79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43B6E35"/>
    <w:multiLevelType w:val="hybridMultilevel"/>
    <w:tmpl w:val="7DE08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5A52BEA"/>
    <w:multiLevelType w:val="hybridMultilevel"/>
    <w:tmpl w:val="D8C0C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1">
    <w:nsid w:val="3D5A7286"/>
    <w:multiLevelType w:val="multilevel"/>
    <w:tmpl w:val="AFD658B2"/>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b/>
      </w:rPr>
    </w:lvl>
    <w:lvl w:ilvl="3">
      <w:start w:val="1"/>
      <w:numFmt w:val="lowerRoman"/>
      <w:pStyle w:val="AllensHeading4"/>
      <w:lvlText w:val="(%4)"/>
      <w:lvlJc w:val="left"/>
      <w:pPr>
        <w:tabs>
          <w:tab w:val="num" w:pos="2126"/>
        </w:tabs>
        <w:ind w:left="2126" w:hanging="70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AllensHeading5"/>
      <w:lvlText w:val="(%5)"/>
      <w:lvlJc w:val="left"/>
      <w:pPr>
        <w:tabs>
          <w:tab w:val="num" w:pos="2835"/>
        </w:tabs>
        <w:ind w:left="2835" w:hanging="709"/>
      </w:pPr>
      <w:rPr>
        <w:rFonts w:hint="default"/>
        <w:b w:val="0"/>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277"/>
        </w:tabs>
        <w:ind w:left="1277"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3">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nsid w:val="457B3122"/>
    <w:multiLevelType w:val="hybridMultilevel"/>
    <w:tmpl w:val="168A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FD17A9"/>
    <w:multiLevelType w:val="hybridMultilevel"/>
    <w:tmpl w:val="DB76F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D6B492F"/>
    <w:multiLevelType w:val="hybridMultilevel"/>
    <w:tmpl w:val="973C66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8">
    <w:nsid w:val="5E620E54"/>
    <w:multiLevelType w:val="hybridMultilevel"/>
    <w:tmpl w:val="BDB2E634"/>
    <w:lvl w:ilvl="0" w:tplc="0C090001">
      <w:start w:val="1"/>
      <w:numFmt w:val="bullet"/>
      <w:lvlText w:val=""/>
      <w:lvlJc w:val="left"/>
      <w:pPr>
        <w:ind w:left="2846" w:hanging="360"/>
      </w:pPr>
      <w:rPr>
        <w:rFonts w:ascii="Symbol" w:hAnsi="Symbol" w:hint="default"/>
      </w:rPr>
    </w:lvl>
    <w:lvl w:ilvl="1" w:tplc="0C090003" w:tentative="1">
      <w:start w:val="1"/>
      <w:numFmt w:val="bullet"/>
      <w:lvlText w:val="o"/>
      <w:lvlJc w:val="left"/>
      <w:pPr>
        <w:ind w:left="3566" w:hanging="360"/>
      </w:pPr>
      <w:rPr>
        <w:rFonts w:ascii="Courier New" w:hAnsi="Courier New" w:cs="Courier New" w:hint="default"/>
      </w:rPr>
    </w:lvl>
    <w:lvl w:ilvl="2" w:tplc="0C090005" w:tentative="1">
      <w:start w:val="1"/>
      <w:numFmt w:val="bullet"/>
      <w:lvlText w:val=""/>
      <w:lvlJc w:val="left"/>
      <w:pPr>
        <w:ind w:left="4286" w:hanging="360"/>
      </w:pPr>
      <w:rPr>
        <w:rFonts w:ascii="Wingdings" w:hAnsi="Wingdings" w:hint="default"/>
      </w:rPr>
    </w:lvl>
    <w:lvl w:ilvl="3" w:tplc="0C090001" w:tentative="1">
      <w:start w:val="1"/>
      <w:numFmt w:val="bullet"/>
      <w:lvlText w:val=""/>
      <w:lvlJc w:val="left"/>
      <w:pPr>
        <w:ind w:left="5006" w:hanging="360"/>
      </w:pPr>
      <w:rPr>
        <w:rFonts w:ascii="Symbol" w:hAnsi="Symbol" w:hint="default"/>
      </w:rPr>
    </w:lvl>
    <w:lvl w:ilvl="4" w:tplc="0C090003" w:tentative="1">
      <w:start w:val="1"/>
      <w:numFmt w:val="bullet"/>
      <w:lvlText w:val="o"/>
      <w:lvlJc w:val="left"/>
      <w:pPr>
        <w:ind w:left="5726" w:hanging="360"/>
      </w:pPr>
      <w:rPr>
        <w:rFonts w:ascii="Courier New" w:hAnsi="Courier New" w:cs="Courier New" w:hint="default"/>
      </w:rPr>
    </w:lvl>
    <w:lvl w:ilvl="5" w:tplc="0C090005" w:tentative="1">
      <w:start w:val="1"/>
      <w:numFmt w:val="bullet"/>
      <w:lvlText w:val=""/>
      <w:lvlJc w:val="left"/>
      <w:pPr>
        <w:ind w:left="6446" w:hanging="360"/>
      </w:pPr>
      <w:rPr>
        <w:rFonts w:ascii="Wingdings" w:hAnsi="Wingdings" w:hint="default"/>
      </w:rPr>
    </w:lvl>
    <w:lvl w:ilvl="6" w:tplc="0C090001" w:tentative="1">
      <w:start w:val="1"/>
      <w:numFmt w:val="bullet"/>
      <w:lvlText w:val=""/>
      <w:lvlJc w:val="left"/>
      <w:pPr>
        <w:ind w:left="7166" w:hanging="360"/>
      </w:pPr>
      <w:rPr>
        <w:rFonts w:ascii="Symbol" w:hAnsi="Symbol" w:hint="default"/>
      </w:rPr>
    </w:lvl>
    <w:lvl w:ilvl="7" w:tplc="0C090003" w:tentative="1">
      <w:start w:val="1"/>
      <w:numFmt w:val="bullet"/>
      <w:lvlText w:val="o"/>
      <w:lvlJc w:val="left"/>
      <w:pPr>
        <w:ind w:left="7886" w:hanging="360"/>
      </w:pPr>
      <w:rPr>
        <w:rFonts w:ascii="Courier New" w:hAnsi="Courier New" w:cs="Courier New" w:hint="default"/>
      </w:rPr>
    </w:lvl>
    <w:lvl w:ilvl="8" w:tplc="0C090005" w:tentative="1">
      <w:start w:val="1"/>
      <w:numFmt w:val="bullet"/>
      <w:lvlText w:val=""/>
      <w:lvlJc w:val="left"/>
      <w:pPr>
        <w:ind w:left="8606" w:hanging="360"/>
      </w:pPr>
      <w:rPr>
        <w:rFonts w:ascii="Wingdings" w:hAnsi="Wingdings" w:hint="default"/>
      </w:rPr>
    </w:lvl>
  </w:abstractNum>
  <w:abstractNum w:abstractNumId="19">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1">
    <w:nsid w:val="70A8249E"/>
    <w:multiLevelType w:val="singleLevel"/>
    <w:tmpl w:val="E02ED844"/>
    <w:lvl w:ilvl="0">
      <w:start w:val="1"/>
      <w:numFmt w:val="bullet"/>
      <w:pStyle w:val="Bullet1"/>
      <w:lvlText w:val="•"/>
      <w:lvlJc w:val="left"/>
      <w:pPr>
        <w:tabs>
          <w:tab w:val="num" w:pos="709"/>
        </w:tabs>
        <w:ind w:left="70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11"/>
  </w:num>
  <w:num w:numId="2">
    <w:abstractNumId w:val="21"/>
  </w:num>
  <w:num w:numId="3">
    <w:abstractNumId w:val="10"/>
  </w:num>
  <w:num w:numId="4">
    <w:abstractNumId w:val="17"/>
  </w:num>
  <w:num w:numId="5">
    <w:abstractNumId w:val="13"/>
  </w:num>
  <w:num w:numId="6">
    <w:abstractNumId w:val="20"/>
  </w:num>
  <w:num w:numId="7">
    <w:abstractNumId w:val="19"/>
  </w:num>
  <w:num w:numId="8">
    <w:abstractNumId w:val="6"/>
  </w:num>
  <w:num w:numId="9">
    <w:abstractNumId w:val="0"/>
  </w:num>
  <w:num w:numId="10">
    <w:abstractNumId w:val="12"/>
  </w:num>
  <w:num w:numId="11">
    <w:abstractNumId w:val="1"/>
  </w:num>
  <w:num w:numId="12">
    <w:abstractNumId w:val="9"/>
  </w:num>
  <w:num w:numId="13">
    <w:abstractNumId w:val="15"/>
  </w:num>
  <w:num w:numId="14">
    <w:abstractNumId w:val="7"/>
  </w:num>
  <w:num w:numId="15">
    <w:abstractNumId w:val="3"/>
  </w:num>
  <w:num w:numId="16">
    <w:abstractNumId w:val="4"/>
  </w:num>
  <w:num w:numId="17">
    <w:abstractNumId w:val="5"/>
  </w:num>
  <w:num w:numId="18">
    <w:abstractNumId w:val="8"/>
  </w:num>
  <w:num w:numId="19">
    <w:abstractNumId w:val="1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10"/>
  </w:num>
  <w:num w:numId="34">
    <w:abstractNumId w:val="17"/>
  </w:num>
  <w:num w:numId="35">
    <w:abstractNumId w:val="18"/>
  </w:num>
  <w:num w:numId="36">
    <w:abstractNumId w:val="10"/>
  </w:num>
  <w:num w:numId="37">
    <w:abstractNumId w:val="10"/>
  </w:num>
  <w:num w:numId="38">
    <w:abstractNumId w:val="10"/>
  </w:num>
  <w:num w:numId="39">
    <w:abstractNumId w:val="21"/>
  </w:num>
  <w:num w:numId="40">
    <w:abstractNumId w:val="11"/>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0"/>
  </w:num>
  <w:num w:numId="44">
    <w:abstractNumId w:val="10"/>
  </w:num>
  <w:num w:numId="4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97"/>
    <w:rsid w:val="000003A0"/>
    <w:rsid w:val="00000C15"/>
    <w:rsid w:val="0000277D"/>
    <w:rsid w:val="0000281B"/>
    <w:rsid w:val="00002CE9"/>
    <w:rsid w:val="00002EE2"/>
    <w:rsid w:val="00003348"/>
    <w:rsid w:val="00004AD9"/>
    <w:rsid w:val="00005CB3"/>
    <w:rsid w:val="0000683D"/>
    <w:rsid w:val="00007B4D"/>
    <w:rsid w:val="00010226"/>
    <w:rsid w:val="00010C52"/>
    <w:rsid w:val="00011964"/>
    <w:rsid w:val="0001282C"/>
    <w:rsid w:val="00013094"/>
    <w:rsid w:val="00015602"/>
    <w:rsid w:val="00015707"/>
    <w:rsid w:val="00016211"/>
    <w:rsid w:val="000162B6"/>
    <w:rsid w:val="000172BE"/>
    <w:rsid w:val="000213C9"/>
    <w:rsid w:val="00023343"/>
    <w:rsid w:val="00024255"/>
    <w:rsid w:val="000259D4"/>
    <w:rsid w:val="00026EB0"/>
    <w:rsid w:val="00030F37"/>
    <w:rsid w:val="00031067"/>
    <w:rsid w:val="0003478A"/>
    <w:rsid w:val="00034B23"/>
    <w:rsid w:val="00035187"/>
    <w:rsid w:val="00035840"/>
    <w:rsid w:val="000359CF"/>
    <w:rsid w:val="0004041A"/>
    <w:rsid w:val="00041034"/>
    <w:rsid w:val="000437BF"/>
    <w:rsid w:val="00045442"/>
    <w:rsid w:val="00045A8D"/>
    <w:rsid w:val="00053BD9"/>
    <w:rsid w:val="00053F8B"/>
    <w:rsid w:val="000544B2"/>
    <w:rsid w:val="00057F5A"/>
    <w:rsid w:val="0006021E"/>
    <w:rsid w:val="00060CAC"/>
    <w:rsid w:val="000614F2"/>
    <w:rsid w:val="0006228C"/>
    <w:rsid w:val="00064BB8"/>
    <w:rsid w:val="000657AF"/>
    <w:rsid w:val="00065CBB"/>
    <w:rsid w:val="000665F8"/>
    <w:rsid w:val="00066BB8"/>
    <w:rsid w:val="00066CFD"/>
    <w:rsid w:val="0007143C"/>
    <w:rsid w:val="0007199D"/>
    <w:rsid w:val="000728E7"/>
    <w:rsid w:val="00072B6F"/>
    <w:rsid w:val="00073E79"/>
    <w:rsid w:val="000742F1"/>
    <w:rsid w:val="000744C5"/>
    <w:rsid w:val="00075B02"/>
    <w:rsid w:val="00075F85"/>
    <w:rsid w:val="00076537"/>
    <w:rsid w:val="00082E0D"/>
    <w:rsid w:val="000846DD"/>
    <w:rsid w:val="00085412"/>
    <w:rsid w:val="00085F75"/>
    <w:rsid w:val="00090C93"/>
    <w:rsid w:val="00093864"/>
    <w:rsid w:val="00094417"/>
    <w:rsid w:val="00096996"/>
    <w:rsid w:val="00096CAB"/>
    <w:rsid w:val="00096E50"/>
    <w:rsid w:val="00096E63"/>
    <w:rsid w:val="000976F9"/>
    <w:rsid w:val="000A25BF"/>
    <w:rsid w:val="000A2C33"/>
    <w:rsid w:val="000A3871"/>
    <w:rsid w:val="000A3B27"/>
    <w:rsid w:val="000A43C7"/>
    <w:rsid w:val="000A4442"/>
    <w:rsid w:val="000A5AC0"/>
    <w:rsid w:val="000A63CB"/>
    <w:rsid w:val="000A644E"/>
    <w:rsid w:val="000B0D53"/>
    <w:rsid w:val="000B150A"/>
    <w:rsid w:val="000C0E17"/>
    <w:rsid w:val="000C14A0"/>
    <w:rsid w:val="000C1A8A"/>
    <w:rsid w:val="000C45F0"/>
    <w:rsid w:val="000C6A3A"/>
    <w:rsid w:val="000C6EEB"/>
    <w:rsid w:val="000C7F2B"/>
    <w:rsid w:val="000D09BA"/>
    <w:rsid w:val="000D322E"/>
    <w:rsid w:val="000D538E"/>
    <w:rsid w:val="000D75F4"/>
    <w:rsid w:val="000E116F"/>
    <w:rsid w:val="000E1C8D"/>
    <w:rsid w:val="000E3059"/>
    <w:rsid w:val="000F1B44"/>
    <w:rsid w:val="000F1E06"/>
    <w:rsid w:val="000F2B4B"/>
    <w:rsid w:val="000F2E45"/>
    <w:rsid w:val="000F2EEA"/>
    <w:rsid w:val="000F5C7E"/>
    <w:rsid w:val="000F6A4C"/>
    <w:rsid w:val="000F7677"/>
    <w:rsid w:val="001005E6"/>
    <w:rsid w:val="00110579"/>
    <w:rsid w:val="001152D7"/>
    <w:rsid w:val="00117EBD"/>
    <w:rsid w:val="00120BE9"/>
    <w:rsid w:val="001224AE"/>
    <w:rsid w:val="001234AA"/>
    <w:rsid w:val="00123C63"/>
    <w:rsid w:val="0012489E"/>
    <w:rsid w:val="00126EC1"/>
    <w:rsid w:val="00130432"/>
    <w:rsid w:val="001308C6"/>
    <w:rsid w:val="00130ED0"/>
    <w:rsid w:val="0013425D"/>
    <w:rsid w:val="00134938"/>
    <w:rsid w:val="00134C07"/>
    <w:rsid w:val="00135366"/>
    <w:rsid w:val="001364CA"/>
    <w:rsid w:val="00136673"/>
    <w:rsid w:val="0014020A"/>
    <w:rsid w:val="0014145F"/>
    <w:rsid w:val="00141C93"/>
    <w:rsid w:val="00141D07"/>
    <w:rsid w:val="00144BDD"/>
    <w:rsid w:val="001453C5"/>
    <w:rsid w:val="00147ED9"/>
    <w:rsid w:val="00152C3F"/>
    <w:rsid w:val="00153645"/>
    <w:rsid w:val="0015368A"/>
    <w:rsid w:val="0015423D"/>
    <w:rsid w:val="001603FC"/>
    <w:rsid w:val="0016278E"/>
    <w:rsid w:val="0016343D"/>
    <w:rsid w:val="00165FDB"/>
    <w:rsid w:val="00166498"/>
    <w:rsid w:val="00166D41"/>
    <w:rsid w:val="00167311"/>
    <w:rsid w:val="00167718"/>
    <w:rsid w:val="00167A24"/>
    <w:rsid w:val="00167ABE"/>
    <w:rsid w:val="00167FD7"/>
    <w:rsid w:val="00171C08"/>
    <w:rsid w:val="001726AE"/>
    <w:rsid w:val="00172DF2"/>
    <w:rsid w:val="00174F95"/>
    <w:rsid w:val="00175577"/>
    <w:rsid w:val="0018102E"/>
    <w:rsid w:val="001813F3"/>
    <w:rsid w:val="00181B8E"/>
    <w:rsid w:val="00182168"/>
    <w:rsid w:val="001824C9"/>
    <w:rsid w:val="00182A93"/>
    <w:rsid w:val="00185E36"/>
    <w:rsid w:val="00185F5B"/>
    <w:rsid w:val="00191CAD"/>
    <w:rsid w:val="00192AD7"/>
    <w:rsid w:val="00192B65"/>
    <w:rsid w:val="001A0A52"/>
    <w:rsid w:val="001A2B3D"/>
    <w:rsid w:val="001A300C"/>
    <w:rsid w:val="001A3629"/>
    <w:rsid w:val="001A3A0A"/>
    <w:rsid w:val="001A4763"/>
    <w:rsid w:val="001A552B"/>
    <w:rsid w:val="001A61E0"/>
    <w:rsid w:val="001A62E1"/>
    <w:rsid w:val="001B170D"/>
    <w:rsid w:val="001B27A6"/>
    <w:rsid w:val="001B2B24"/>
    <w:rsid w:val="001B42FD"/>
    <w:rsid w:val="001B4ACE"/>
    <w:rsid w:val="001B5C4C"/>
    <w:rsid w:val="001B5E14"/>
    <w:rsid w:val="001C18C4"/>
    <w:rsid w:val="001C2497"/>
    <w:rsid w:val="001C34BA"/>
    <w:rsid w:val="001C56E6"/>
    <w:rsid w:val="001C5BD1"/>
    <w:rsid w:val="001C5F38"/>
    <w:rsid w:val="001C6CAE"/>
    <w:rsid w:val="001C7199"/>
    <w:rsid w:val="001C7922"/>
    <w:rsid w:val="001D048B"/>
    <w:rsid w:val="001D3818"/>
    <w:rsid w:val="001D4513"/>
    <w:rsid w:val="001D4EFE"/>
    <w:rsid w:val="001D4FC6"/>
    <w:rsid w:val="001D6F23"/>
    <w:rsid w:val="001D7F83"/>
    <w:rsid w:val="001E2940"/>
    <w:rsid w:val="001E3CC5"/>
    <w:rsid w:val="001E42D0"/>
    <w:rsid w:val="001E5C68"/>
    <w:rsid w:val="001E7BDC"/>
    <w:rsid w:val="001F0134"/>
    <w:rsid w:val="001F55C6"/>
    <w:rsid w:val="001F58DF"/>
    <w:rsid w:val="001F6D4E"/>
    <w:rsid w:val="001F77AB"/>
    <w:rsid w:val="0020008B"/>
    <w:rsid w:val="00200A27"/>
    <w:rsid w:val="00201571"/>
    <w:rsid w:val="0020411A"/>
    <w:rsid w:val="0020451F"/>
    <w:rsid w:val="0020484E"/>
    <w:rsid w:val="00210DE7"/>
    <w:rsid w:val="00211356"/>
    <w:rsid w:val="002114C9"/>
    <w:rsid w:val="0021187B"/>
    <w:rsid w:val="00212094"/>
    <w:rsid w:val="00212A45"/>
    <w:rsid w:val="00212E52"/>
    <w:rsid w:val="0021442F"/>
    <w:rsid w:val="00217B38"/>
    <w:rsid w:val="002201E2"/>
    <w:rsid w:val="002222BC"/>
    <w:rsid w:val="0022330A"/>
    <w:rsid w:val="00223AFB"/>
    <w:rsid w:val="00224B42"/>
    <w:rsid w:val="00224B87"/>
    <w:rsid w:val="0022565D"/>
    <w:rsid w:val="00225803"/>
    <w:rsid w:val="00231712"/>
    <w:rsid w:val="00231E04"/>
    <w:rsid w:val="00233C05"/>
    <w:rsid w:val="00234238"/>
    <w:rsid w:val="00236DB0"/>
    <w:rsid w:val="00237E6A"/>
    <w:rsid w:val="002409F0"/>
    <w:rsid w:val="00241326"/>
    <w:rsid w:val="00244D3D"/>
    <w:rsid w:val="00244DA3"/>
    <w:rsid w:val="00250A7E"/>
    <w:rsid w:val="00251270"/>
    <w:rsid w:val="00251C15"/>
    <w:rsid w:val="00251DB1"/>
    <w:rsid w:val="002532A4"/>
    <w:rsid w:val="00254866"/>
    <w:rsid w:val="00256478"/>
    <w:rsid w:val="00256751"/>
    <w:rsid w:val="002632B1"/>
    <w:rsid w:val="00263E60"/>
    <w:rsid w:val="002660DF"/>
    <w:rsid w:val="0027094E"/>
    <w:rsid w:val="00270A74"/>
    <w:rsid w:val="00273B88"/>
    <w:rsid w:val="00274841"/>
    <w:rsid w:val="00274B75"/>
    <w:rsid w:val="00276F4D"/>
    <w:rsid w:val="00276FC2"/>
    <w:rsid w:val="0027747C"/>
    <w:rsid w:val="00282A96"/>
    <w:rsid w:val="002832FB"/>
    <w:rsid w:val="00284B5E"/>
    <w:rsid w:val="00284CA6"/>
    <w:rsid w:val="00284CF5"/>
    <w:rsid w:val="002856ED"/>
    <w:rsid w:val="00285945"/>
    <w:rsid w:val="00285FCF"/>
    <w:rsid w:val="0028674F"/>
    <w:rsid w:val="00286C83"/>
    <w:rsid w:val="002878E4"/>
    <w:rsid w:val="00290211"/>
    <w:rsid w:val="0029111B"/>
    <w:rsid w:val="00291394"/>
    <w:rsid w:val="002916BC"/>
    <w:rsid w:val="002928F4"/>
    <w:rsid w:val="00292CDD"/>
    <w:rsid w:val="00294094"/>
    <w:rsid w:val="00295680"/>
    <w:rsid w:val="00295F11"/>
    <w:rsid w:val="002A0B7F"/>
    <w:rsid w:val="002A0BCA"/>
    <w:rsid w:val="002A2FAE"/>
    <w:rsid w:val="002A35E4"/>
    <w:rsid w:val="002A3A3C"/>
    <w:rsid w:val="002A3C77"/>
    <w:rsid w:val="002A7618"/>
    <w:rsid w:val="002A7865"/>
    <w:rsid w:val="002B0182"/>
    <w:rsid w:val="002B24FB"/>
    <w:rsid w:val="002B3459"/>
    <w:rsid w:val="002B360D"/>
    <w:rsid w:val="002B457C"/>
    <w:rsid w:val="002B46D5"/>
    <w:rsid w:val="002B5BF5"/>
    <w:rsid w:val="002B7743"/>
    <w:rsid w:val="002C087A"/>
    <w:rsid w:val="002C0E91"/>
    <w:rsid w:val="002C13A1"/>
    <w:rsid w:val="002C3465"/>
    <w:rsid w:val="002C39B1"/>
    <w:rsid w:val="002C4910"/>
    <w:rsid w:val="002C6558"/>
    <w:rsid w:val="002C6FD4"/>
    <w:rsid w:val="002C717D"/>
    <w:rsid w:val="002C7F36"/>
    <w:rsid w:val="002D05D1"/>
    <w:rsid w:val="002D1344"/>
    <w:rsid w:val="002D3080"/>
    <w:rsid w:val="002D31B3"/>
    <w:rsid w:val="002D3A21"/>
    <w:rsid w:val="002D4CBA"/>
    <w:rsid w:val="002D56A2"/>
    <w:rsid w:val="002E01EE"/>
    <w:rsid w:val="002E0894"/>
    <w:rsid w:val="002E09EC"/>
    <w:rsid w:val="002E1F17"/>
    <w:rsid w:val="002E2A03"/>
    <w:rsid w:val="002E65F0"/>
    <w:rsid w:val="002E7359"/>
    <w:rsid w:val="002E74CA"/>
    <w:rsid w:val="002E76D8"/>
    <w:rsid w:val="002F03C8"/>
    <w:rsid w:val="002F1C05"/>
    <w:rsid w:val="002F1D35"/>
    <w:rsid w:val="002F4058"/>
    <w:rsid w:val="003006F6"/>
    <w:rsid w:val="00300776"/>
    <w:rsid w:val="00300E88"/>
    <w:rsid w:val="00301820"/>
    <w:rsid w:val="00302607"/>
    <w:rsid w:val="00302800"/>
    <w:rsid w:val="00302E16"/>
    <w:rsid w:val="0030300C"/>
    <w:rsid w:val="003031C8"/>
    <w:rsid w:val="003049FC"/>
    <w:rsid w:val="003056DE"/>
    <w:rsid w:val="0030592B"/>
    <w:rsid w:val="00306ED3"/>
    <w:rsid w:val="00307D30"/>
    <w:rsid w:val="0031009A"/>
    <w:rsid w:val="0031061B"/>
    <w:rsid w:val="00314611"/>
    <w:rsid w:val="0031492B"/>
    <w:rsid w:val="0031563D"/>
    <w:rsid w:val="00322BFF"/>
    <w:rsid w:val="00324B62"/>
    <w:rsid w:val="00324B92"/>
    <w:rsid w:val="00325350"/>
    <w:rsid w:val="0032622B"/>
    <w:rsid w:val="00327611"/>
    <w:rsid w:val="00327DB0"/>
    <w:rsid w:val="00332037"/>
    <w:rsid w:val="00332B06"/>
    <w:rsid w:val="00335820"/>
    <w:rsid w:val="00336DE0"/>
    <w:rsid w:val="0033702F"/>
    <w:rsid w:val="0033706F"/>
    <w:rsid w:val="00341772"/>
    <w:rsid w:val="003418BD"/>
    <w:rsid w:val="00344818"/>
    <w:rsid w:val="00345B51"/>
    <w:rsid w:val="00347DEE"/>
    <w:rsid w:val="00350813"/>
    <w:rsid w:val="00351442"/>
    <w:rsid w:val="00352CFF"/>
    <w:rsid w:val="00354E06"/>
    <w:rsid w:val="003552F7"/>
    <w:rsid w:val="00356C2E"/>
    <w:rsid w:val="003602CB"/>
    <w:rsid w:val="00361305"/>
    <w:rsid w:val="00362380"/>
    <w:rsid w:val="003633A3"/>
    <w:rsid w:val="00365712"/>
    <w:rsid w:val="0036582C"/>
    <w:rsid w:val="00366054"/>
    <w:rsid w:val="003669D1"/>
    <w:rsid w:val="00367032"/>
    <w:rsid w:val="00370008"/>
    <w:rsid w:val="003700A3"/>
    <w:rsid w:val="003701DE"/>
    <w:rsid w:val="00371569"/>
    <w:rsid w:val="00372416"/>
    <w:rsid w:val="00374DF7"/>
    <w:rsid w:val="00375502"/>
    <w:rsid w:val="0037783D"/>
    <w:rsid w:val="0038066A"/>
    <w:rsid w:val="0038147D"/>
    <w:rsid w:val="003849F3"/>
    <w:rsid w:val="00391D38"/>
    <w:rsid w:val="003929DF"/>
    <w:rsid w:val="00392DC5"/>
    <w:rsid w:val="00393F3B"/>
    <w:rsid w:val="003947ED"/>
    <w:rsid w:val="0039559D"/>
    <w:rsid w:val="00396D5C"/>
    <w:rsid w:val="0039743B"/>
    <w:rsid w:val="003974B4"/>
    <w:rsid w:val="003A0D5A"/>
    <w:rsid w:val="003A220D"/>
    <w:rsid w:val="003A36B2"/>
    <w:rsid w:val="003A58D8"/>
    <w:rsid w:val="003A5E1E"/>
    <w:rsid w:val="003B0F5D"/>
    <w:rsid w:val="003B1E51"/>
    <w:rsid w:val="003B348D"/>
    <w:rsid w:val="003B34B8"/>
    <w:rsid w:val="003B5619"/>
    <w:rsid w:val="003B5701"/>
    <w:rsid w:val="003C00D8"/>
    <w:rsid w:val="003C039F"/>
    <w:rsid w:val="003C05B2"/>
    <w:rsid w:val="003C5483"/>
    <w:rsid w:val="003C5A2A"/>
    <w:rsid w:val="003D0123"/>
    <w:rsid w:val="003D01C3"/>
    <w:rsid w:val="003D241A"/>
    <w:rsid w:val="003D27C9"/>
    <w:rsid w:val="003D341D"/>
    <w:rsid w:val="003D422C"/>
    <w:rsid w:val="003D5B65"/>
    <w:rsid w:val="003E0BCB"/>
    <w:rsid w:val="003E29DE"/>
    <w:rsid w:val="003E3102"/>
    <w:rsid w:val="003E5859"/>
    <w:rsid w:val="003F0221"/>
    <w:rsid w:val="003F1450"/>
    <w:rsid w:val="003F1AE5"/>
    <w:rsid w:val="003F2A79"/>
    <w:rsid w:val="003F3C86"/>
    <w:rsid w:val="003F46E9"/>
    <w:rsid w:val="003F4A83"/>
    <w:rsid w:val="003F53B4"/>
    <w:rsid w:val="003F6101"/>
    <w:rsid w:val="003F7BDB"/>
    <w:rsid w:val="00400AF0"/>
    <w:rsid w:val="0040129E"/>
    <w:rsid w:val="00401747"/>
    <w:rsid w:val="00401FFF"/>
    <w:rsid w:val="0040220A"/>
    <w:rsid w:val="00403015"/>
    <w:rsid w:val="0040343C"/>
    <w:rsid w:val="004035D4"/>
    <w:rsid w:val="00404BAC"/>
    <w:rsid w:val="00404D33"/>
    <w:rsid w:val="0040514A"/>
    <w:rsid w:val="004066D5"/>
    <w:rsid w:val="00406B59"/>
    <w:rsid w:val="004072EB"/>
    <w:rsid w:val="00410742"/>
    <w:rsid w:val="00411AED"/>
    <w:rsid w:val="00412624"/>
    <w:rsid w:val="00412F95"/>
    <w:rsid w:val="0041449D"/>
    <w:rsid w:val="00415F6C"/>
    <w:rsid w:val="00417D0D"/>
    <w:rsid w:val="0042050D"/>
    <w:rsid w:val="00421D61"/>
    <w:rsid w:val="0042333E"/>
    <w:rsid w:val="004238E9"/>
    <w:rsid w:val="00423A45"/>
    <w:rsid w:val="004254EE"/>
    <w:rsid w:val="00426768"/>
    <w:rsid w:val="00426CA2"/>
    <w:rsid w:val="004307BC"/>
    <w:rsid w:val="0043085D"/>
    <w:rsid w:val="00431372"/>
    <w:rsid w:val="00432916"/>
    <w:rsid w:val="00433F92"/>
    <w:rsid w:val="004346CD"/>
    <w:rsid w:val="004430D2"/>
    <w:rsid w:val="00444D91"/>
    <w:rsid w:val="00446254"/>
    <w:rsid w:val="00447481"/>
    <w:rsid w:val="00451195"/>
    <w:rsid w:val="0045163F"/>
    <w:rsid w:val="004516F9"/>
    <w:rsid w:val="00451BFA"/>
    <w:rsid w:val="0045220C"/>
    <w:rsid w:val="0045331E"/>
    <w:rsid w:val="00453B3F"/>
    <w:rsid w:val="00454788"/>
    <w:rsid w:val="00455926"/>
    <w:rsid w:val="00455CE5"/>
    <w:rsid w:val="00460585"/>
    <w:rsid w:val="004609C4"/>
    <w:rsid w:val="0046474D"/>
    <w:rsid w:val="00465A5D"/>
    <w:rsid w:val="004708C3"/>
    <w:rsid w:val="004719DA"/>
    <w:rsid w:val="00472F0B"/>
    <w:rsid w:val="004737C0"/>
    <w:rsid w:val="004749F2"/>
    <w:rsid w:val="00474A1A"/>
    <w:rsid w:val="00475AB6"/>
    <w:rsid w:val="00477531"/>
    <w:rsid w:val="00480EC5"/>
    <w:rsid w:val="004817D0"/>
    <w:rsid w:val="00482018"/>
    <w:rsid w:val="004824AA"/>
    <w:rsid w:val="00483A39"/>
    <w:rsid w:val="00487641"/>
    <w:rsid w:val="00492B99"/>
    <w:rsid w:val="00492CB0"/>
    <w:rsid w:val="0049316B"/>
    <w:rsid w:val="00493485"/>
    <w:rsid w:val="004952B5"/>
    <w:rsid w:val="004953EF"/>
    <w:rsid w:val="004957F8"/>
    <w:rsid w:val="004958AB"/>
    <w:rsid w:val="00495D31"/>
    <w:rsid w:val="00496933"/>
    <w:rsid w:val="00496F2F"/>
    <w:rsid w:val="004A02CC"/>
    <w:rsid w:val="004A0704"/>
    <w:rsid w:val="004A09CD"/>
    <w:rsid w:val="004A0FC0"/>
    <w:rsid w:val="004A119F"/>
    <w:rsid w:val="004A2E67"/>
    <w:rsid w:val="004A3F7F"/>
    <w:rsid w:val="004A4338"/>
    <w:rsid w:val="004A4A3F"/>
    <w:rsid w:val="004A6031"/>
    <w:rsid w:val="004A62A8"/>
    <w:rsid w:val="004A6A79"/>
    <w:rsid w:val="004B096C"/>
    <w:rsid w:val="004B1FE2"/>
    <w:rsid w:val="004B41C4"/>
    <w:rsid w:val="004B7662"/>
    <w:rsid w:val="004B77CB"/>
    <w:rsid w:val="004C2DCC"/>
    <w:rsid w:val="004C3524"/>
    <w:rsid w:val="004D0725"/>
    <w:rsid w:val="004D081F"/>
    <w:rsid w:val="004D0FFA"/>
    <w:rsid w:val="004D1464"/>
    <w:rsid w:val="004D1CBD"/>
    <w:rsid w:val="004D1FC8"/>
    <w:rsid w:val="004D20D3"/>
    <w:rsid w:val="004D2359"/>
    <w:rsid w:val="004D440F"/>
    <w:rsid w:val="004D5096"/>
    <w:rsid w:val="004D534F"/>
    <w:rsid w:val="004D59E2"/>
    <w:rsid w:val="004D6428"/>
    <w:rsid w:val="004D698C"/>
    <w:rsid w:val="004D7871"/>
    <w:rsid w:val="004E1651"/>
    <w:rsid w:val="004E16BB"/>
    <w:rsid w:val="004E22FC"/>
    <w:rsid w:val="004E2D71"/>
    <w:rsid w:val="004E3B0E"/>
    <w:rsid w:val="004E5F3B"/>
    <w:rsid w:val="004E77A2"/>
    <w:rsid w:val="004E7988"/>
    <w:rsid w:val="004E7A82"/>
    <w:rsid w:val="004E7C29"/>
    <w:rsid w:val="004F213B"/>
    <w:rsid w:val="004F37DF"/>
    <w:rsid w:val="004F3AD4"/>
    <w:rsid w:val="004F4ECA"/>
    <w:rsid w:val="004F4F33"/>
    <w:rsid w:val="004F57FA"/>
    <w:rsid w:val="004F5BD7"/>
    <w:rsid w:val="0050036C"/>
    <w:rsid w:val="0050235F"/>
    <w:rsid w:val="00502387"/>
    <w:rsid w:val="005111DF"/>
    <w:rsid w:val="00511A22"/>
    <w:rsid w:val="00512CD4"/>
    <w:rsid w:val="0051371D"/>
    <w:rsid w:val="005164A3"/>
    <w:rsid w:val="005168DC"/>
    <w:rsid w:val="005207E8"/>
    <w:rsid w:val="005212B7"/>
    <w:rsid w:val="00522D50"/>
    <w:rsid w:val="00523DEB"/>
    <w:rsid w:val="00524E46"/>
    <w:rsid w:val="00526E71"/>
    <w:rsid w:val="005313C3"/>
    <w:rsid w:val="005315A5"/>
    <w:rsid w:val="00531600"/>
    <w:rsid w:val="00532042"/>
    <w:rsid w:val="005324EE"/>
    <w:rsid w:val="00533EDF"/>
    <w:rsid w:val="00534B75"/>
    <w:rsid w:val="0053540B"/>
    <w:rsid w:val="00540072"/>
    <w:rsid w:val="0054134A"/>
    <w:rsid w:val="00541EC6"/>
    <w:rsid w:val="0054331D"/>
    <w:rsid w:val="005440AB"/>
    <w:rsid w:val="00544294"/>
    <w:rsid w:val="0054444F"/>
    <w:rsid w:val="005458DE"/>
    <w:rsid w:val="005501AF"/>
    <w:rsid w:val="00550C17"/>
    <w:rsid w:val="00551817"/>
    <w:rsid w:val="005522AA"/>
    <w:rsid w:val="0055425B"/>
    <w:rsid w:val="005546D6"/>
    <w:rsid w:val="00554BD5"/>
    <w:rsid w:val="00554C78"/>
    <w:rsid w:val="00554D84"/>
    <w:rsid w:val="0055564A"/>
    <w:rsid w:val="00555926"/>
    <w:rsid w:val="005560FB"/>
    <w:rsid w:val="0056126B"/>
    <w:rsid w:val="00562C6E"/>
    <w:rsid w:val="0056456D"/>
    <w:rsid w:val="00565080"/>
    <w:rsid w:val="00570C83"/>
    <w:rsid w:val="00572D04"/>
    <w:rsid w:val="0057396C"/>
    <w:rsid w:val="0057398E"/>
    <w:rsid w:val="00574ED0"/>
    <w:rsid w:val="0057754B"/>
    <w:rsid w:val="0057791B"/>
    <w:rsid w:val="0058040E"/>
    <w:rsid w:val="00582CF1"/>
    <w:rsid w:val="00583C17"/>
    <w:rsid w:val="00584AEC"/>
    <w:rsid w:val="00585F76"/>
    <w:rsid w:val="00586570"/>
    <w:rsid w:val="005878ED"/>
    <w:rsid w:val="0059123C"/>
    <w:rsid w:val="005914AD"/>
    <w:rsid w:val="00591697"/>
    <w:rsid w:val="0059234B"/>
    <w:rsid w:val="005925C1"/>
    <w:rsid w:val="0059277E"/>
    <w:rsid w:val="0059360F"/>
    <w:rsid w:val="00594402"/>
    <w:rsid w:val="00594618"/>
    <w:rsid w:val="00595711"/>
    <w:rsid w:val="005A018D"/>
    <w:rsid w:val="005A1E85"/>
    <w:rsid w:val="005A5770"/>
    <w:rsid w:val="005A6875"/>
    <w:rsid w:val="005B0D96"/>
    <w:rsid w:val="005B1999"/>
    <w:rsid w:val="005B4A4F"/>
    <w:rsid w:val="005B562A"/>
    <w:rsid w:val="005B56BB"/>
    <w:rsid w:val="005B5FCB"/>
    <w:rsid w:val="005B6A73"/>
    <w:rsid w:val="005B6E9F"/>
    <w:rsid w:val="005B7220"/>
    <w:rsid w:val="005B7ACA"/>
    <w:rsid w:val="005B7C60"/>
    <w:rsid w:val="005B7F9E"/>
    <w:rsid w:val="005C02F1"/>
    <w:rsid w:val="005C0D62"/>
    <w:rsid w:val="005C3FDA"/>
    <w:rsid w:val="005C4248"/>
    <w:rsid w:val="005C4DDE"/>
    <w:rsid w:val="005C5BCE"/>
    <w:rsid w:val="005C6C3D"/>
    <w:rsid w:val="005C7C3E"/>
    <w:rsid w:val="005D06DE"/>
    <w:rsid w:val="005D08E3"/>
    <w:rsid w:val="005D2FF6"/>
    <w:rsid w:val="005D4C54"/>
    <w:rsid w:val="005D53E5"/>
    <w:rsid w:val="005D6601"/>
    <w:rsid w:val="005D6E30"/>
    <w:rsid w:val="005E06ED"/>
    <w:rsid w:val="005E1058"/>
    <w:rsid w:val="005E2498"/>
    <w:rsid w:val="005E31F8"/>
    <w:rsid w:val="005E415C"/>
    <w:rsid w:val="005E51F3"/>
    <w:rsid w:val="005E7198"/>
    <w:rsid w:val="005E71AE"/>
    <w:rsid w:val="005E7419"/>
    <w:rsid w:val="005F18D7"/>
    <w:rsid w:val="005F2F87"/>
    <w:rsid w:val="005F497E"/>
    <w:rsid w:val="005F668E"/>
    <w:rsid w:val="00600021"/>
    <w:rsid w:val="0060078B"/>
    <w:rsid w:val="00600D3B"/>
    <w:rsid w:val="00601085"/>
    <w:rsid w:val="006032B1"/>
    <w:rsid w:val="00603ED6"/>
    <w:rsid w:val="006056E5"/>
    <w:rsid w:val="00607736"/>
    <w:rsid w:val="00611A17"/>
    <w:rsid w:val="00615EAE"/>
    <w:rsid w:val="00616209"/>
    <w:rsid w:val="00616744"/>
    <w:rsid w:val="00617FB4"/>
    <w:rsid w:val="00620C38"/>
    <w:rsid w:val="00621ED1"/>
    <w:rsid w:val="00622F93"/>
    <w:rsid w:val="00623E95"/>
    <w:rsid w:val="006242E2"/>
    <w:rsid w:val="00624B7E"/>
    <w:rsid w:val="00625826"/>
    <w:rsid w:val="00626346"/>
    <w:rsid w:val="0062664E"/>
    <w:rsid w:val="00627B32"/>
    <w:rsid w:val="00627B5B"/>
    <w:rsid w:val="00627F96"/>
    <w:rsid w:val="006305F4"/>
    <w:rsid w:val="006307FC"/>
    <w:rsid w:val="00631BC9"/>
    <w:rsid w:val="00633A7C"/>
    <w:rsid w:val="00634261"/>
    <w:rsid w:val="00634A59"/>
    <w:rsid w:val="0063639E"/>
    <w:rsid w:val="006410DA"/>
    <w:rsid w:val="006424F3"/>
    <w:rsid w:val="00642D71"/>
    <w:rsid w:val="00642F5F"/>
    <w:rsid w:val="0064324E"/>
    <w:rsid w:val="00643F66"/>
    <w:rsid w:val="00644435"/>
    <w:rsid w:val="00644F37"/>
    <w:rsid w:val="00645153"/>
    <w:rsid w:val="00650812"/>
    <w:rsid w:val="00651506"/>
    <w:rsid w:val="00656E67"/>
    <w:rsid w:val="00657ADF"/>
    <w:rsid w:val="00660C12"/>
    <w:rsid w:val="00661862"/>
    <w:rsid w:val="00661934"/>
    <w:rsid w:val="00662656"/>
    <w:rsid w:val="00662C3C"/>
    <w:rsid w:val="00662CBB"/>
    <w:rsid w:val="00664023"/>
    <w:rsid w:val="0066486B"/>
    <w:rsid w:val="006659E7"/>
    <w:rsid w:val="006661D3"/>
    <w:rsid w:val="0066657F"/>
    <w:rsid w:val="006678CF"/>
    <w:rsid w:val="006679FF"/>
    <w:rsid w:val="0067057B"/>
    <w:rsid w:val="00670AC9"/>
    <w:rsid w:val="00671317"/>
    <w:rsid w:val="00672042"/>
    <w:rsid w:val="0067271C"/>
    <w:rsid w:val="006728C1"/>
    <w:rsid w:val="00672E30"/>
    <w:rsid w:val="00673200"/>
    <w:rsid w:val="006762BA"/>
    <w:rsid w:val="006769B4"/>
    <w:rsid w:val="00677085"/>
    <w:rsid w:val="00677FC9"/>
    <w:rsid w:val="00680EAB"/>
    <w:rsid w:val="00681FB6"/>
    <w:rsid w:val="006838CD"/>
    <w:rsid w:val="00685D5B"/>
    <w:rsid w:val="006870B8"/>
    <w:rsid w:val="00690071"/>
    <w:rsid w:val="0069017A"/>
    <w:rsid w:val="0069123B"/>
    <w:rsid w:val="00694E8C"/>
    <w:rsid w:val="0069757B"/>
    <w:rsid w:val="006A113A"/>
    <w:rsid w:val="006A2F0E"/>
    <w:rsid w:val="006A3EBE"/>
    <w:rsid w:val="006A438B"/>
    <w:rsid w:val="006A5154"/>
    <w:rsid w:val="006A59A4"/>
    <w:rsid w:val="006A66B9"/>
    <w:rsid w:val="006A7D0F"/>
    <w:rsid w:val="006B21E1"/>
    <w:rsid w:val="006B38B9"/>
    <w:rsid w:val="006B6432"/>
    <w:rsid w:val="006B731B"/>
    <w:rsid w:val="006B7FA6"/>
    <w:rsid w:val="006C0E03"/>
    <w:rsid w:val="006C1985"/>
    <w:rsid w:val="006C2499"/>
    <w:rsid w:val="006C3AC3"/>
    <w:rsid w:val="006C5601"/>
    <w:rsid w:val="006D0066"/>
    <w:rsid w:val="006D05FF"/>
    <w:rsid w:val="006D0FF9"/>
    <w:rsid w:val="006D2725"/>
    <w:rsid w:val="006D3A82"/>
    <w:rsid w:val="006D4B4E"/>
    <w:rsid w:val="006D557C"/>
    <w:rsid w:val="006D5677"/>
    <w:rsid w:val="006D5886"/>
    <w:rsid w:val="006D5F95"/>
    <w:rsid w:val="006E072D"/>
    <w:rsid w:val="006E338B"/>
    <w:rsid w:val="006E415F"/>
    <w:rsid w:val="006E48B3"/>
    <w:rsid w:val="006E6D7B"/>
    <w:rsid w:val="006E7F98"/>
    <w:rsid w:val="006F035D"/>
    <w:rsid w:val="006F1E4D"/>
    <w:rsid w:val="006F2B6D"/>
    <w:rsid w:val="006F33B2"/>
    <w:rsid w:val="006F3EAE"/>
    <w:rsid w:val="006F52FD"/>
    <w:rsid w:val="006F5ADB"/>
    <w:rsid w:val="006F6100"/>
    <w:rsid w:val="006F6249"/>
    <w:rsid w:val="006F6B52"/>
    <w:rsid w:val="00700CC4"/>
    <w:rsid w:val="00702C49"/>
    <w:rsid w:val="00704999"/>
    <w:rsid w:val="007055C1"/>
    <w:rsid w:val="00705906"/>
    <w:rsid w:val="00706AB1"/>
    <w:rsid w:val="00706FBA"/>
    <w:rsid w:val="00707E7D"/>
    <w:rsid w:val="00710F73"/>
    <w:rsid w:val="0071148E"/>
    <w:rsid w:val="0071202A"/>
    <w:rsid w:val="0071202E"/>
    <w:rsid w:val="007139B4"/>
    <w:rsid w:val="00713BF3"/>
    <w:rsid w:val="00715357"/>
    <w:rsid w:val="00715502"/>
    <w:rsid w:val="00716A02"/>
    <w:rsid w:val="007175B8"/>
    <w:rsid w:val="00722898"/>
    <w:rsid w:val="00722C49"/>
    <w:rsid w:val="00722EB6"/>
    <w:rsid w:val="007239C6"/>
    <w:rsid w:val="007248FC"/>
    <w:rsid w:val="00724B82"/>
    <w:rsid w:val="0072557A"/>
    <w:rsid w:val="00726211"/>
    <w:rsid w:val="00727082"/>
    <w:rsid w:val="00730705"/>
    <w:rsid w:val="00731C3A"/>
    <w:rsid w:val="0073200B"/>
    <w:rsid w:val="00732EEC"/>
    <w:rsid w:val="00733A1D"/>
    <w:rsid w:val="007348B7"/>
    <w:rsid w:val="00735176"/>
    <w:rsid w:val="0074007F"/>
    <w:rsid w:val="0074156C"/>
    <w:rsid w:val="007417EE"/>
    <w:rsid w:val="00741B0C"/>
    <w:rsid w:val="0074227C"/>
    <w:rsid w:val="00743C27"/>
    <w:rsid w:val="00744FA3"/>
    <w:rsid w:val="00751576"/>
    <w:rsid w:val="00751851"/>
    <w:rsid w:val="007520A9"/>
    <w:rsid w:val="00752B3D"/>
    <w:rsid w:val="00753F9E"/>
    <w:rsid w:val="0075408A"/>
    <w:rsid w:val="007542D5"/>
    <w:rsid w:val="0075493D"/>
    <w:rsid w:val="00755333"/>
    <w:rsid w:val="007556BF"/>
    <w:rsid w:val="00755FA3"/>
    <w:rsid w:val="00756CE4"/>
    <w:rsid w:val="007571C4"/>
    <w:rsid w:val="00761EDD"/>
    <w:rsid w:val="0076217A"/>
    <w:rsid w:val="007621DA"/>
    <w:rsid w:val="00763491"/>
    <w:rsid w:val="00764314"/>
    <w:rsid w:val="00764D95"/>
    <w:rsid w:val="00764F6C"/>
    <w:rsid w:val="007656C0"/>
    <w:rsid w:val="00765CAA"/>
    <w:rsid w:val="00766919"/>
    <w:rsid w:val="0076781A"/>
    <w:rsid w:val="007733CC"/>
    <w:rsid w:val="0077550F"/>
    <w:rsid w:val="007765AA"/>
    <w:rsid w:val="00776668"/>
    <w:rsid w:val="0077680F"/>
    <w:rsid w:val="00777821"/>
    <w:rsid w:val="00777DCE"/>
    <w:rsid w:val="00780A0F"/>
    <w:rsid w:val="00783C05"/>
    <w:rsid w:val="00784BFC"/>
    <w:rsid w:val="00784ED5"/>
    <w:rsid w:val="007863A7"/>
    <w:rsid w:val="007864D2"/>
    <w:rsid w:val="00790A58"/>
    <w:rsid w:val="00792315"/>
    <w:rsid w:val="007928C8"/>
    <w:rsid w:val="007930F4"/>
    <w:rsid w:val="00793B41"/>
    <w:rsid w:val="00793F2F"/>
    <w:rsid w:val="00794E00"/>
    <w:rsid w:val="007960FD"/>
    <w:rsid w:val="00796500"/>
    <w:rsid w:val="00796734"/>
    <w:rsid w:val="00797294"/>
    <w:rsid w:val="007A0097"/>
    <w:rsid w:val="007A0C72"/>
    <w:rsid w:val="007A0EC7"/>
    <w:rsid w:val="007A1A8C"/>
    <w:rsid w:val="007A2932"/>
    <w:rsid w:val="007A36F1"/>
    <w:rsid w:val="007A44A0"/>
    <w:rsid w:val="007A59AA"/>
    <w:rsid w:val="007B0021"/>
    <w:rsid w:val="007B0611"/>
    <w:rsid w:val="007B17C3"/>
    <w:rsid w:val="007B2970"/>
    <w:rsid w:val="007B3B00"/>
    <w:rsid w:val="007B592C"/>
    <w:rsid w:val="007B5A9E"/>
    <w:rsid w:val="007B5BC7"/>
    <w:rsid w:val="007B6721"/>
    <w:rsid w:val="007B7478"/>
    <w:rsid w:val="007B756F"/>
    <w:rsid w:val="007C162A"/>
    <w:rsid w:val="007C17B9"/>
    <w:rsid w:val="007C3CCB"/>
    <w:rsid w:val="007C3D4B"/>
    <w:rsid w:val="007C46C4"/>
    <w:rsid w:val="007C54FA"/>
    <w:rsid w:val="007C6248"/>
    <w:rsid w:val="007D01D0"/>
    <w:rsid w:val="007D0534"/>
    <w:rsid w:val="007D07D3"/>
    <w:rsid w:val="007D352D"/>
    <w:rsid w:val="007D4EF2"/>
    <w:rsid w:val="007D6111"/>
    <w:rsid w:val="007D637C"/>
    <w:rsid w:val="007D6E57"/>
    <w:rsid w:val="007E186B"/>
    <w:rsid w:val="007E255A"/>
    <w:rsid w:val="007E5F1F"/>
    <w:rsid w:val="007E61D7"/>
    <w:rsid w:val="007E7BBE"/>
    <w:rsid w:val="007F142A"/>
    <w:rsid w:val="007F1855"/>
    <w:rsid w:val="007F1B47"/>
    <w:rsid w:val="007F29A3"/>
    <w:rsid w:val="007F3DAC"/>
    <w:rsid w:val="007F400D"/>
    <w:rsid w:val="007F5C77"/>
    <w:rsid w:val="007F6DAA"/>
    <w:rsid w:val="00801D3C"/>
    <w:rsid w:val="00802522"/>
    <w:rsid w:val="00805D17"/>
    <w:rsid w:val="008064AA"/>
    <w:rsid w:val="008066B2"/>
    <w:rsid w:val="00806EA2"/>
    <w:rsid w:val="008079CC"/>
    <w:rsid w:val="00811893"/>
    <w:rsid w:val="00813E32"/>
    <w:rsid w:val="00813E74"/>
    <w:rsid w:val="00816424"/>
    <w:rsid w:val="008202B6"/>
    <w:rsid w:val="008219DD"/>
    <w:rsid w:val="0082252F"/>
    <w:rsid w:val="0082297D"/>
    <w:rsid w:val="00823A3A"/>
    <w:rsid w:val="00823CA6"/>
    <w:rsid w:val="008248F0"/>
    <w:rsid w:val="00824BB0"/>
    <w:rsid w:val="00826634"/>
    <w:rsid w:val="00826650"/>
    <w:rsid w:val="00827B1C"/>
    <w:rsid w:val="00831049"/>
    <w:rsid w:val="008325AD"/>
    <w:rsid w:val="008325C8"/>
    <w:rsid w:val="0083320A"/>
    <w:rsid w:val="00833469"/>
    <w:rsid w:val="00840B94"/>
    <w:rsid w:val="0084277E"/>
    <w:rsid w:val="00842D72"/>
    <w:rsid w:val="008433F1"/>
    <w:rsid w:val="00843499"/>
    <w:rsid w:val="0084406E"/>
    <w:rsid w:val="00844EF3"/>
    <w:rsid w:val="00845EE1"/>
    <w:rsid w:val="008463C0"/>
    <w:rsid w:val="0084765A"/>
    <w:rsid w:val="00847C02"/>
    <w:rsid w:val="00850237"/>
    <w:rsid w:val="008523C5"/>
    <w:rsid w:val="0085246A"/>
    <w:rsid w:val="00852E94"/>
    <w:rsid w:val="008533D3"/>
    <w:rsid w:val="0085354C"/>
    <w:rsid w:val="00853859"/>
    <w:rsid w:val="00853B96"/>
    <w:rsid w:val="0085563A"/>
    <w:rsid w:val="008562A9"/>
    <w:rsid w:val="00857701"/>
    <w:rsid w:val="00860260"/>
    <w:rsid w:val="00861E17"/>
    <w:rsid w:val="0086204B"/>
    <w:rsid w:val="00863056"/>
    <w:rsid w:val="0086360E"/>
    <w:rsid w:val="00865C05"/>
    <w:rsid w:val="00865E6A"/>
    <w:rsid w:val="00865F17"/>
    <w:rsid w:val="008670C1"/>
    <w:rsid w:val="00870B6D"/>
    <w:rsid w:val="00872634"/>
    <w:rsid w:val="00873E78"/>
    <w:rsid w:val="0087419D"/>
    <w:rsid w:val="00875BD3"/>
    <w:rsid w:val="008771D5"/>
    <w:rsid w:val="00881D70"/>
    <w:rsid w:val="00884232"/>
    <w:rsid w:val="008856F6"/>
    <w:rsid w:val="00885CA0"/>
    <w:rsid w:val="00885E37"/>
    <w:rsid w:val="00886302"/>
    <w:rsid w:val="00890420"/>
    <w:rsid w:val="008908B5"/>
    <w:rsid w:val="00891E66"/>
    <w:rsid w:val="00894CAC"/>
    <w:rsid w:val="00895C60"/>
    <w:rsid w:val="008971D2"/>
    <w:rsid w:val="008A0004"/>
    <w:rsid w:val="008A0540"/>
    <w:rsid w:val="008A12E6"/>
    <w:rsid w:val="008A2331"/>
    <w:rsid w:val="008A2C4F"/>
    <w:rsid w:val="008A3A86"/>
    <w:rsid w:val="008A4281"/>
    <w:rsid w:val="008A459B"/>
    <w:rsid w:val="008A59A4"/>
    <w:rsid w:val="008A5BB7"/>
    <w:rsid w:val="008A7D68"/>
    <w:rsid w:val="008B05CF"/>
    <w:rsid w:val="008B2DE7"/>
    <w:rsid w:val="008B5356"/>
    <w:rsid w:val="008B6807"/>
    <w:rsid w:val="008B7227"/>
    <w:rsid w:val="008C132B"/>
    <w:rsid w:val="008C3F69"/>
    <w:rsid w:val="008C52A6"/>
    <w:rsid w:val="008C551B"/>
    <w:rsid w:val="008C59A7"/>
    <w:rsid w:val="008C74AC"/>
    <w:rsid w:val="008C7B6B"/>
    <w:rsid w:val="008D0015"/>
    <w:rsid w:val="008D0EEA"/>
    <w:rsid w:val="008D247E"/>
    <w:rsid w:val="008D29C2"/>
    <w:rsid w:val="008D366C"/>
    <w:rsid w:val="008D38C5"/>
    <w:rsid w:val="008D762C"/>
    <w:rsid w:val="008D7CC7"/>
    <w:rsid w:val="008E0CCA"/>
    <w:rsid w:val="008E1DEC"/>
    <w:rsid w:val="008E3A16"/>
    <w:rsid w:val="008E3ADC"/>
    <w:rsid w:val="008E42CB"/>
    <w:rsid w:val="008E4C82"/>
    <w:rsid w:val="008E683A"/>
    <w:rsid w:val="008E7098"/>
    <w:rsid w:val="008E733D"/>
    <w:rsid w:val="008E75C8"/>
    <w:rsid w:val="008F0779"/>
    <w:rsid w:val="008F0FA4"/>
    <w:rsid w:val="008F34C2"/>
    <w:rsid w:val="008F45D7"/>
    <w:rsid w:val="008F586A"/>
    <w:rsid w:val="008F67CC"/>
    <w:rsid w:val="00901ED6"/>
    <w:rsid w:val="009059BF"/>
    <w:rsid w:val="00905B63"/>
    <w:rsid w:val="00910856"/>
    <w:rsid w:val="00912F52"/>
    <w:rsid w:val="00913CE4"/>
    <w:rsid w:val="009175A6"/>
    <w:rsid w:val="0091778D"/>
    <w:rsid w:val="00917F5F"/>
    <w:rsid w:val="009215D8"/>
    <w:rsid w:val="00921D4F"/>
    <w:rsid w:val="009248E2"/>
    <w:rsid w:val="00924B40"/>
    <w:rsid w:val="0092540B"/>
    <w:rsid w:val="009265DC"/>
    <w:rsid w:val="00926D75"/>
    <w:rsid w:val="00930471"/>
    <w:rsid w:val="00931B06"/>
    <w:rsid w:val="00933AA8"/>
    <w:rsid w:val="00934042"/>
    <w:rsid w:val="00937317"/>
    <w:rsid w:val="009421AA"/>
    <w:rsid w:val="0094622E"/>
    <w:rsid w:val="00947F5E"/>
    <w:rsid w:val="00952FA7"/>
    <w:rsid w:val="009537FA"/>
    <w:rsid w:val="009538F0"/>
    <w:rsid w:val="00956ECA"/>
    <w:rsid w:val="00957B25"/>
    <w:rsid w:val="009628D2"/>
    <w:rsid w:val="009643F2"/>
    <w:rsid w:val="009659A8"/>
    <w:rsid w:val="00965F87"/>
    <w:rsid w:val="0096785C"/>
    <w:rsid w:val="00970697"/>
    <w:rsid w:val="009718B5"/>
    <w:rsid w:val="00971CB4"/>
    <w:rsid w:val="00971D2C"/>
    <w:rsid w:val="00972E85"/>
    <w:rsid w:val="00973F8B"/>
    <w:rsid w:val="00975D65"/>
    <w:rsid w:val="00980A7E"/>
    <w:rsid w:val="00983133"/>
    <w:rsid w:val="00983C08"/>
    <w:rsid w:val="00983CDE"/>
    <w:rsid w:val="0098723D"/>
    <w:rsid w:val="00987EFD"/>
    <w:rsid w:val="00990618"/>
    <w:rsid w:val="0099096C"/>
    <w:rsid w:val="00991612"/>
    <w:rsid w:val="0099359F"/>
    <w:rsid w:val="009955CD"/>
    <w:rsid w:val="009A0BD3"/>
    <w:rsid w:val="009A2ADB"/>
    <w:rsid w:val="009A332E"/>
    <w:rsid w:val="009A6A92"/>
    <w:rsid w:val="009A7774"/>
    <w:rsid w:val="009B07F6"/>
    <w:rsid w:val="009B0B00"/>
    <w:rsid w:val="009B0D22"/>
    <w:rsid w:val="009B10B7"/>
    <w:rsid w:val="009B1139"/>
    <w:rsid w:val="009B12EB"/>
    <w:rsid w:val="009B5772"/>
    <w:rsid w:val="009B6DCC"/>
    <w:rsid w:val="009B7142"/>
    <w:rsid w:val="009B7B2D"/>
    <w:rsid w:val="009B7DFE"/>
    <w:rsid w:val="009C054A"/>
    <w:rsid w:val="009C1522"/>
    <w:rsid w:val="009C187B"/>
    <w:rsid w:val="009C2ED4"/>
    <w:rsid w:val="009C364F"/>
    <w:rsid w:val="009C3C42"/>
    <w:rsid w:val="009C5481"/>
    <w:rsid w:val="009C6D2F"/>
    <w:rsid w:val="009C7EFF"/>
    <w:rsid w:val="009D0AEA"/>
    <w:rsid w:val="009D0F83"/>
    <w:rsid w:val="009D1B67"/>
    <w:rsid w:val="009D522F"/>
    <w:rsid w:val="009D5C10"/>
    <w:rsid w:val="009D6734"/>
    <w:rsid w:val="009D6D3F"/>
    <w:rsid w:val="009D6F77"/>
    <w:rsid w:val="009D6F97"/>
    <w:rsid w:val="009D7462"/>
    <w:rsid w:val="009E003E"/>
    <w:rsid w:val="009E1348"/>
    <w:rsid w:val="009E1661"/>
    <w:rsid w:val="009E1D2A"/>
    <w:rsid w:val="009E21D1"/>
    <w:rsid w:val="009E432D"/>
    <w:rsid w:val="009E46AE"/>
    <w:rsid w:val="009E4B0C"/>
    <w:rsid w:val="009E51DA"/>
    <w:rsid w:val="009E6206"/>
    <w:rsid w:val="009F0012"/>
    <w:rsid w:val="009F05F2"/>
    <w:rsid w:val="009F0CCF"/>
    <w:rsid w:val="009F153D"/>
    <w:rsid w:val="009F1F78"/>
    <w:rsid w:val="009F3A52"/>
    <w:rsid w:val="009F3E24"/>
    <w:rsid w:val="009F51A9"/>
    <w:rsid w:val="009F6462"/>
    <w:rsid w:val="009F68CE"/>
    <w:rsid w:val="009F738B"/>
    <w:rsid w:val="00A009C2"/>
    <w:rsid w:val="00A06859"/>
    <w:rsid w:val="00A10586"/>
    <w:rsid w:val="00A10F82"/>
    <w:rsid w:val="00A11222"/>
    <w:rsid w:val="00A11E27"/>
    <w:rsid w:val="00A151F3"/>
    <w:rsid w:val="00A16058"/>
    <w:rsid w:val="00A167F8"/>
    <w:rsid w:val="00A22259"/>
    <w:rsid w:val="00A22B82"/>
    <w:rsid w:val="00A24904"/>
    <w:rsid w:val="00A24B09"/>
    <w:rsid w:val="00A2642A"/>
    <w:rsid w:val="00A27310"/>
    <w:rsid w:val="00A3146A"/>
    <w:rsid w:val="00A31EF9"/>
    <w:rsid w:val="00A34D0C"/>
    <w:rsid w:val="00A358AD"/>
    <w:rsid w:val="00A35CF4"/>
    <w:rsid w:val="00A3639B"/>
    <w:rsid w:val="00A37B82"/>
    <w:rsid w:val="00A410A1"/>
    <w:rsid w:val="00A41716"/>
    <w:rsid w:val="00A41F1E"/>
    <w:rsid w:val="00A43927"/>
    <w:rsid w:val="00A45A14"/>
    <w:rsid w:val="00A47092"/>
    <w:rsid w:val="00A4720A"/>
    <w:rsid w:val="00A47722"/>
    <w:rsid w:val="00A4796A"/>
    <w:rsid w:val="00A50D35"/>
    <w:rsid w:val="00A50E7F"/>
    <w:rsid w:val="00A529FC"/>
    <w:rsid w:val="00A52B47"/>
    <w:rsid w:val="00A531B7"/>
    <w:rsid w:val="00A534ED"/>
    <w:rsid w:val="00A54B6A"/>
    <w:rsid w:val="00A54E24"/>
    <w:rsid w:val="00A552F9"/>
    <w:rsid w:val="00A55896"/>
    <w:rsid w:val="00A60DD7"/>
    <w:rsid w:val="00A61FC5"/>
    <w:rsid w:val="00A62770"/>
    <w:rsid w:val="00A62D2E"/>
    <w:rsid w:val="00A63FCF"/>
    <w:rsid w:val="00A64AA9"/>
    <w:rsid w:val="00A65C3D"/>
    <w:rsid w:val="00A66466"/>
    <w:rsid w:val="00A66EA8"/>
    <w:rsid w:val="00A67E2C"/>
    <w:rsid w:val="00A67EA0"/>
    <w:rsid w:val="00A702C4"/>
    <w:rsid w:val="00A717D2"/>
    <w:rsid w:val="00A72CE2"/>
    <w:rsid w:val="00A746DE"/>
    <w:rsid w:val="00A74714"/>
    <w:rsid w:val="00A76B7C"/>
    <w:rsid w:val="00A77C14"/>
    <w:rsid w:val="00A8001E"/>
    <w:rsid w:val="00A80038"/>
    <w:rsid w:val="00A8183F"/>
    <w:rsid w:val="00A828AF"/>
    <w:rsid w:val="00A84061"/>
    <w:rsid w:val="00A909EF"/>
    <w:rsid w:val="00A92D07"/>
    <w:rsid w:val="00A933E4"/>
    <w:rsid w:val="00A9529C"/>
    <w:rsid w:val="00A9616F"/>
    <w:rsid w:val="00A964F8"/>
    <w:rsid w:val="00A96E22"/>
    <w:rsid w:val="00A972B4"/>
    <w:rsid w:val="00AA5B3A"/>
    <w:rsid w:val="00AA62DE"/>
    <w:rsid w:val="00AB050F"/>
    <w:rsid w:val="00AB06E5"/>
    <w:rsid w:val="00AB09B9"/>
    <w:rsid w:val="00AB0FF8"/>
    <w:rsid w:val="00AB1295"/>
    <w:rsid w:val="00AB23C8"/>
    <w:rsid w:val="00AB31B4"/>
    <w:rsid w:val="00AB6C38"/>
    <w:rsid w:val="00AB7548"/>
    <w:rsid w:val="00AB79BD"/>
    <w:rsid w:val="00AB7DE9"/>
    <w:rsid w:val="00AC01FF"/>
    <w:rsid w:val="00AC27D2"/>
    <w:rsid w:val="00AC3749"/>
    <w:rsid w:val="00AC3AF6"/>
    <w:rsid w:val="00AC4657"/>
    <w:rsid w:val="00AC4E1E"/>
    <w:rsid w:val="00AC4F20"/>
    <w:rsid w:val="00AC500A"/>
    <w:rsid w:val="00AD08AE"/>
    <w:rsid w:val="00AD1302"/>
    <w:rsid w:val="00AD17B8"/>
    <w:rsid w:val="00AD29DF"/>
    <w:rsid w:val="00AD30FD"/>
    <w:rsid w:val="00AD3CFD"/>
    <w:rsid w:val="00AD6949"/>
    <w:rsid w:val="00AD78D9"/>
    <w:rsid w:val="00AE0A3D"/>
    <w:rsid w:val="00AE2A02"/>
    <w:rsid w:val="00AE7348"/>
    <w:rsid w:val="00AE7A46"/>
    <w:rsid w:val="00AE7FAC"/>
    <w:rsid w:val="00AF0CA0"/>
    <w:rsid w:val="00AF2356"/>
    <w:rsid w:val="00AF7693"/>
    <w:rsid w:val="00B00838"/>
    <w:rsid w:val="00B01DAD"/>
    <w:rsid w:val="00B022B2"/>
    <w:rsid w:val="00B02EB6"/>
    <w:rsid w:val="00B04963"/>
    <w:rsid w:val="00B04D02"/>
    <w:rsid w:val="00B05DFC"/>
    <w:rsid w:val="00B06EF2"/>
    <w:rsid w:val="00B070C8"/>
    <w:rsid w:val="00B07AB0"/>
    <w:rsid w:val="00B07D7A"/>
    <w:rsid w:val="00B109F4"/>
    <w:rsid w:val="00B116F9"/>
    <w:rsid w:val="00B119A9"/>
    <w:rsid w:val="00B12BC5"/>
    <w:rsid w:val="00B142E7"/>
    <w:rsid w:val="00B16CD4"/>
    <w:rsid w:val="00B16ED9"/>
    <w:rsid w:val="00B17892"/>
    <w:rsid w:val="00B22F07"/>
    <w:rsid w:val="00B23591"/>
    <w:rsid w:val="00B2375B"/>
    <w:rsid w:val="00B243DC"/>
    <w:rsid w:val="00B26483"/>
    <w:rsid w:val="00B26D69"/>
    <w:rsid w:val="00B30984"/>
    <w:rsid w:val="00B32293"/>
    <w:rsid w:val="00B3239A"/>
    <w:rsid w:val="00B3643B"/>
    <w:rsid w:val="00B3651D"/>
    <w:rsid w:val="00B36B60"/>
    <w:rsid w:val="00B403A5"/>
    <w:rsid w:val="00B40656"/>
    <w:rsid w:val="00B40942"/>
    <w:rsid w:val="00B40AD3"/>
    <w:rsid w:val="00B40BA6"/>
    <w:rsid w:val="00B40E09"/>
    <w:rsid w:val="00B41242"/>
    <w:rsid w:val="00B4187B"/>
    <w:rsid w:val="00B42064"/>
    <w:rsid w:val="00B42582"/>
    <w:rsid w:val="00B428C9"/>
    <w:rsid w:val="00B42DF3"/>
    <w:rsid w:val="00B445C7"/>
    <w:rsid w:val="00B44DD9"/>
    <w:rsid w:val="00B46874"/>
    <w:rsid w:val="00B46E26"/>
    <w:rsid w:val="00B46F6A"/>
    <w:rsid w:val="00B4724A"/>
    <w:rsid w:val="00B473B2"/>
    <w:rsid w:val="00B504FD"/>
    <w:rsid w:val="00B56A1D"/>
    <w:rsid w:val="00B575E7"/>
    <w:rsid w:val="00B60FC0"/>
    <w:rsid w:val="00B61970"/>
    <w:rsid w:val="00B6271E"/>
    <w:rsid w:val="00B62C6F"/>
    <w:rsid w:val="00B632D4"/>
    <w:rsid w:val="00B64BA0"/>
    <w:rsid w:val="00B64D69"/>
    <w:rsid w:val="00B66C9E"/>
    <w:rsid w:val="00B7019D"/>
    <w:rsid w:val="00B71EE8"/>
    <w:rsid w:val="00B721C2"/>
    <w:rsid w:val="00B73E72"/>
    <w:rsid w:val="00B74180"/>
    <w:rsid w:val="00B743E9"/>
    <w:rsid w:val="00B74561"/>
    <w:rsid w:val="00B75738"/>
    <w:rsid w:val="00B7580D"/>
    <w:rsid w:val="00B75F5A"/>
    <w:rsid w:val="00B76FE7"/>
    <w:rsid w:val="00B81595"/>
    <w:rsid w:val="00B82F53"/>
    <w:rsid w:val="00B82FE2"/>
    <w:rsid w:val="00B83ED5"/>
    <w:rsid w:val="00B84820"/>
    <w:rsid w:val="00B85203"/>
    <w:rsid w:val="00B8541C"/>
    <w:rsid w:val="00B859EF"/>
    <w:rsid w:val="00B864B6"/>
    <w:rsid w:val="00B90130"/>
    <w:rsid w:val="00B94290"/>
    <w:rsid w:val="00B96D93"/>
    <w:rsid w:val="00B96DF6"/>
    <w:rsid w:val="00B97F74"/>
    <w:rsid w:val="00BA23DD"/>
    <w:rsid w:val="00BA2D91"/>
    <w:rsid w:val="00BA4A11"/>
    <w:rsid w:val="00BA4A84"/>
    <w:rsid w:val="00BA6B84"/>
    <w:rsid w:val="00BA6BE4"/>
    <w:rsid w:val="00BA6E7C"/>
    <w:rsid w:val="00BA702D"/>
    <w:rsid w:val="00BA77ED"/>
    <w:rsid w:val="00BB07BF"/>
    <w:rsid w:val="00BB2517"/>
    <w:rsid w:val="00BB440C"/>
    <w:rsid w:val="00BB4458"/>
    <w:rsid w:val="00BB494F"/>
    <w:rsid w:val="00BB5571"/>
    <w:rsid w:val="00BB5F1F"/>
    <w:rsid w:val="00BB6659"/>
    <w:rsid w:val="00BB74F4"/>
    <w:rsid w:val="00BB7A13"/>
    <w:rsid w:val="00BB7C50"/>
    <w:rsid w:val="00BB7E8B"/>
    <w:rsid w:val="00BC1202"/>
    <w:rsid w:val="00BC12D5"/>
    <w:rsid w:val="00BC3F8D"/>
    <w:rsid w:val="00BC4DC6"/>
    <w:rsid w:val="00BC528D"/>
    <w:rsid w:val="00BC5563"/>
    <w:rsid w:val="00BC658B"/>
    <w:rsid w:val="00BC7F6B"/>
    <w:rsid w:val="00BD1446"/>
    <w:rsid w:val="00BD17B4"/>
    <w:rsid w:val="00BD2700"/>
    <w:rsid w:val="00BD3CBA"/>
    <w:rsid w:val="00BD54FF"/>
    <w:rsid w:val="00BD7AA6"/>
    <w:rsid w:val="00BD7BD5"/>
    <w:rsid w:val="00BD7C8D"/>
    <w:rsid w:val="00BE325D"/>
    <w:rsid w:val="00BE54E9"/>
    <w:rsid w:val="00BE7B3C"/>
    <w:rsid w:val="00BF00D4"/>
    <w:rsid w:val="00BF0A24"/>
    <w:rsid w:val="00BF17DA"/>
    <w:rsid w:val="00BF23A4"/>
    <w:rsid w:val="00BF3C49"/>
    <w:rsid w:val="00BF5405"/>
    <w:rsid w:val="00BF7534"/>
    <w:rsid w:val="00C02BDB"/>
    <w:rsid w:val="00C030DA"/>
    <w:rsid w:val="00C03204"/>
    <w:rsid w:val="00C03E08"/>
    <w:rsid w:val="00C050FE"/>
    <w:rsid w:val="00C051BA"/>
    <w:rsid w:val="00C07386"/>
    <w:rsid w:val="00C10CAA"/>
    <w:rsid w:val="00C10E58"/>
    <w:rsid w:val="00C110E4"/>
    <w:rsid w:val="00C12883"/>
    <w:rsid w:val="00C14898"/>
    <w:rsid w:val="00C14DFE"/>
    <w:rsid w:val="00C16513"/>
    <w:rsid w:val="00C16574"/>
    <w:rsid w:val="00C16772"/>
    <w:rsid w:val="00C204EA"/>
    <w:rsid w:val="00C205E4"/>
    <w:rsid w:val="00C215DC"/>
    <w:rsid w:val="00C2199B"/>
    <w:rsid w:val="00C220D3"/>
    <w:rsid w:val="00C23173"/>
    <w:rsid w:val="00C26154"/>
    <w:rsid w:val="00C26DE4"/>
    <w:rsid w:val="00C2702F"/>
    <w:rsid w:val="00C3031A"/>
    <w:rsid w:val="00C3123B"/>
    <w:rsid w:val="00C327C0"/>
    <w:rsid w:val="00C332BC"/>
    <w:rsid w:val="00C34EE8"/>
    <w:rsid w:val="00C36165"/>
    <w:rsid w:val="00C36AED"/>
    <w:rsid w:val="00C373AC"/>
    <w:rsid w:val="00C37BED"/>
    <w:rsid w:val="00C404B6"/>
    <w:rsid w:val="00C41292"/>
    <w:rsid w:val="00C42445"/>
    <w:rsid w:val="00C42A56"/>
    <w:rsid w:val="00C43943"/>
    <w:rsid w:val="00C43987"/>
    <w:rsid w:val="00C43D89"/>
    <w:rsid w:val="00C43EA7"/>
    <w:rsid w:val="00C44320"/>
    <w:rsid w:val="00C46910"/>
    <w:rsid w:val="00C47404"/>
    <w:rsid w:val="00C51543"/>
    <w:rsid w:val="00C51F7C"/>
    <w:rsid w:val="00C52522"/>
    <w:rsid w:val="00C53E79"/>
    <w:rsid w:val="00C5442A"/>
    <w:rsid w:val="00C55C6D"/>
    <w:rsid w:val="00C56018"/>
    <w:rsid w:val="00C5729E"/>
    <w:rsid w:val="00C57D9C"/>
    <w:rsid w:val="00C616BE"/>
    <w:rsid w:val="00C65300"/>
    <w:rsid w:val="00C6541A"/>
    <w:rsid w:val="00C6559A"/>
    <w:rsid w:val="00C656DA"/>
    <w:rsid w:val="00C659B4"/>
    <w:rsid w:val="00C67FE3"/>
    <w:rsid w:val="00C7034F"/>
    <w:rsid w:val="00C70996"/>
    <w:rsid w:val="00C72AEC"/>
    <w:rsid w:val="00C74465"/>
    <w:rsid w:val="00C74FC9"/>
    <w:rsid w:val="00C75B3F"/>
    <w:rsid w:val="00C761E1"/>
    <w:rsid w:val="00C76436"/>
    <w:rsid w:val="00C77510"/>
    <w:rsid w:val="00C77586"/>
    <w:rsid w:val="00C80356"/>
    <w:rsid w:val="00C80A80"/>
    <w:rsid w:val="00C8344A"/>
    <w:rsid w:val="00C83C08"/>
    <w:rsid w:val="00C849EB"/>
    <w:rsid w:val="00C85B49"/>
    <w:rsid w:val="00C876E6"/>
    <w:rsid w:val="00C9041F"/>
    <w:rsid w:val="00C904C6"/>
    <w:rsid w:val="00C90F1A"/>
    <w:rsid w:val="00C91492"/>
    <w:rsid w:val="00C91A6E"/>
    <w:rsid w:val="00C91DE6"/>
    <w:rsid w:val="00C93FB4"/>
    <w:rsid w:val="00C942AE"/>
    <w:rsid w:val="00C942E0"/>
    <w:rsid w:val="00C96D0F"/>
    <w:rsid w:val="00CA0D55"/>
    <w:rsid w:val="00CA131B"/>
    <w:rsid w:val="00CA17F8"/>
    <w:rsid w:val="00CA273C"/>
    <w:rsid w:val="00CA3DF7"/>
    <w:rsid w:val="00CA49EC"/>
    <w:rsid w:val="00CA58F4"/>
    <w:rsid w:val="00CA7609"/>
    <w:rsid w:val="00CB5CCC"/>
    <w:rsid w:val="00CB7318"/>
    <w:rsid w:val="00CB7477"/>
    <w:rsid w:val="00CB7AC0"/>
    <w:rsid w:val="00CB7EDC"/>
    <w:rsid w:val="00CC0230"/>
    <w:rsid w:val="00CC098E"/>
    <w:rsid w:val="00CC0FF1"/>
    <w:rsid w:val="00CC13BF"/>
    <w:rsid w:val="00CC21C1"/>
    <w:rsid w:val="00CC2340"/>
    <w:rsid w:val="00CC2BD7"/>
    <w:rsid w:val="00CC35AD"/>
    <w:rsid w:val="00CC46BF"/>
    <w:rsid w:val="00CC5CF6"/>
    <w:rsid w:val="00CD24B8"/>
    <w:rsid w:val="00CD31AA"/>
    <w:rsid w:val="00CD7B0D"/>
    <w:rsid w:val="00CE3545"/>
    <w:rsid w:val="00CE4400"/>
    <w:rsid w:val="00CE6058"/>
    <w:rsid w:val="00CE641B"/>
    <w:rsid w:val="00CE6EF9"/>
    <w:rsid w:val="00CE752C"/>
    <w:rsid w:val="00CF2DA0"/>
    <w:rsid w:val="00CF48BE"/>
    <w:rsid w:val="00CF5551"/>
    <w:rsid w:val="00CF74D6"/>
    <w:rsid w:val="00D03D05"/>
    <w:rsid w:val="00D044A0"/>
    <w:rsid w:val="00D04873"/>
    <w:rsid w:val="00D05717"/>
    <w:rsid w:val="00D06C32"/>
    <w:rsid w:val="00D10661"/>
    <w:rsid w:val="00D110E2"/>
    <w:rsid w:val="00D111A0"/>
    <w:rsid w:val="00D13275"/>
    <w:rsid w:val="00D14762"/>
    <w:rsid w:val="00D148F0"/>
    <w:rsid w:val="00D152D5"/>
    <w:rsid w:val="00D15B07"/>
    <w:rsid w:val="00D16B9E"/>
    <w:rsid w:val="00D21051"/>
    <w:rsid w:val="00D21AB2"/>
    <w:rsid w:val="00D22298"/>
    <w:rsid w:val="00D23B73"/>
    <w:rsid w:val="00D23D41"/>
    <w:rsid w:val="00D258B1"/>
    <w:rsid w:val="00D303F6"/>
    <w:rsid w:val="00D310C0"/>
    <w:rsid w:val="00D31423"/>
    <w:rsid w:val="00D32777"/>
    <w:rsid w:val="00D33802"/>
    <w:rsid w:val="00D34D2E"/>
    <w:rsid w:val="00D36742"/>
    <w:rsid w:val="00D371AD"/>
    <w:rsid w:val="00D3770E"/>
    <w:rsid w:val="00D37C6F"/>
    <w:rsid w:val="00D413C4"/>
    <w:rsid w:val="00D43736"/>
    <w:rsid w:val="00D454CC"/>
    <w:rsid w:val="00D459B3"/>
    <w:rsid w:val="00D45C6A"/>
    <w:rsid w:val="00D4633D"/>
    <w:rsid w:val="00D476A4"/>
    <w:rsid w:val="00D4796C"/>
    <w:rsid w:val="00D504B2"/>
    <w:rsid w:val="00D51556"/>
    <w:rsid w:val="00D51B1E"/>
    <w:rsid w:val="00D51FD7"/>
    <w:rsid w:val="00D5203A"/>
    <w:rsid w:val="00D52502"/>
    <w:rsid w:val="00D52C75"/>
    <w:rsid w:val="00D53E28"/>
    <w:rsid w:val="00D54247"/>
    <w:rsid w:val="00D60274"/>
    <w:rsid w:val="00D6227F"/>
    <w:rsid w:val="00D6278A"/>
    <w:rsid w:val="00D63810"/>
    <w:rsid w:val="00D646DD"/>
    <w:rsid w:val="00D64D00"/>
    <w:rsid w:val="00D64F16"/>
    <w:rsid w:val="00D658CE"/>
    <w:rsid w:val="00D662E5"/>
    <w:rsid w:val="00D6647A"/>
    <w:rsid w:val="00D66C6A"/>
    <w:rsid w:val="00D67079"/>
    <w:rsid w:val="00D675D7"/>
    <w:rsid w:val="00D712FA"/>
    <w:rsid w:val="00D725A5"/>
    <w:rsid w:val="00D73E58"/>
    <w:rsid w:val="00D76869"/>
    <w:rsid w:val="00D76ECD"/>
    <w:rsid w:val="00D77AD5"/>
    <w:rsid w:val="00D8149D"/>
    <w:rsid w:val="00D83671"/>
    <w:rsid w:val="00D83F1D"/>
    <w:rsid w:val="00D84D49"/>
    <w:rsid w:val="00D85B98"/>
    <w:rsid w:val="00D85E86"/>
    <w:rsid w:val="00D86111"/>
    <w:rsid w:val="00D86701"/>
    <w:rsid w:val="00D86C26"/>
    <w:rsid w:val="00D90744"/>
    <w:rsid w:val="00D90CBD"/>
    <w:rsid w:val="00D935C1"/>
    <w:rsid w:val="00D93D3A"/>
    <w:rsid w:val="00D940C0"/>
    <w:rsid w:val="00D96270"/>
    <w:rsid w:val="00D968EE"/>
    <w:rsid w:val="00D969BA"/>
    <w:rsid w:val="00DA0341"/>
    <w:rsid w:val="00DA0370"/>
    <w:rsid w:val="00DA040A"/>
    <w:rsid w:val="00DA0A78"/>
    <w:rsid w:val="00DA0F8A"/>
    <w:rsid w:val="00DA1F26"/>
    <w:rsid w:val="00DA2054"/>
    <w:rsid w:val="00DA2CED"/>
    <w:rsid w:val="00DA2D81"/>
    <w:rsid w:val="00DA41C8"/>
    <w:rsid w:val="00DA4AB5"/>
    <w:rsid w:val="00DA4C50"/>
    <w:rsid w:val="00DA5612"/>
    <w:rsid w:val="00DA5A28"/>
    <w:rsid w:val="00DA6B3E"/>
    <w:rsid w:val="00DA7A6C"/>
    <w:rsid w:val="00DB0B05"/>
    <w:rsid w:val="00DB20E1"/>
    <w:rsid w:val="00DB2CFF"/>
    <w:rsid w:val="00DB2E7A"/>
    <w:rsid w:val="00DB308D"/>
    <w:rsid w:val="00DB416B"/>
    <w:rsid w:val="00DB5323"/>
    <w:rsid w:val="00DC1382"/>
    <w:rsid w:val="00DC1EFE"/>
    <w:rsid w:val="00DC23CB"/>
    <w:rsid w:val="00DC2969"/>
    <w:rsid w:val="00DC2E3D"/>
    <w:rsid w:val="00DC3EB9"/>
    <w:rsid w:val="00DC4349"/>
    <w:rsid w:val="00DC4700"/>
    <w:rsid w:val="00DC48F4"/>
    <w:rsid w:val="00DD2B67"/>
    <w:rsid w:val="00DD363E"/>
    <w:rsid w:val="00DD57BE"/>
    <w:rsid w:val="00DD5F84"/>
    <w:rsid w:val="00DD73CA"/>
    <w:rsid w:val="00DE362F"/>
    <w:rsid w:val="00DE3B4E"/>
    <w:rsid w:val="00DE61C1"/>
    <w:rsid w:val="00DE7777"/>
    <w:rsid w:val="00DE7D17"/>
    <w:rsid w:val="00DE7F8B"/>
    <w:rsid w:val="00DF08EB"/>
    <w:rsid w:val="00DF0C99"/>
    <w:rsid w:val="00DF5798"/>
    <w:rsid w:val="00DF5BD2"/>
    <w:rsid w:val="00DF6A17"/>
    <w:rsid w:val="00DF72E8"/>
    <w:rsid w:val="00E01D76"/>
    <w:rsid w:val="00E02995"/>
    <w:rsid w:val="00E037CD"/>
    <w:rsid w:val="00E044A2"/>
    <w:rsid w:val="00E07467"/>
    <w:rsid w:val="00E10007"/>
    <w:rsid w:val="00E10595"/>
    <w:rsid w:val="00E110E1"/>
    <w:rsid w:val="00E1144F"/>
    <w:rsid w:val="00E12B62"/>
    <w:rsid w:val="00E15840"/>
    <w:rsid w:val="00E1605F"/>
    <w:rsid w:val="00E1638B"/>
    <w:rsid w:val="00E17AF4"/>
    <w:rsid w:val="00E2134D"/>
    <w:rsid w:val="00E2174A"/>
    <w:rsid w:val="00E25DAB"/>
    <w:rsid w:val="00E277A8"/>
    <w:rsid w:val="00E3020A"/>
    <w:rsid w:val="00E3127D"/>
    <w:rsid w:val="00E33AF1"/>
    <w:rsid w:val="00E34670"/>
    <w:rsid w:val="00E359BE"/>
    <w:rsid w:val="00E37CC0"/>
    <w:rsid w:val="00E40648"/>
    <w:rsid w:val="00E411D1"/>
    <w:rsid w:val="00E43056"/>
    <w:rsid w:val="00E4380E"/>
    <w:rsid w:val="00E46A57"/>
    <w:rsid w:val="00E47603"/>
    <w:rsid w:val="00E51433"/>
    <w:rsid w:val="00E55038"/>
    <w:rsid w:val="00E5759F"/>
    <w:rsid w:val="00E57ABD"/>
    <w:rsid w:val="00E606F7"/>
    <w:rsid w:val="00E60978"/>
    <w:rsid w:val="00E61B96"/>
    <w:rsid w:val="00E6231A"/>
    <w:rsid w:val="00E630AA"/>
    <w:rsid w:val="00E640EB"/>
    <w:rsid w:val="00E654D3"/>
    <w:rsid w:val="00E66279"/>
    <w:rsid w:val="00E6726E"/>
    <w:rsid w:val="00E70B69"/>
    <w:rsid w:val="00E70C54"/>
    <w:rsid w:val="00E733A1"/>
    <w:rsid w:val="00E7362B"/>
    <w:rsid w:val="00E73767"/>
    <w:rsid w:val="00E74426"/>
    <w:rsid w:val="00E75B68"/>
    <w:rsid w:val="00E773CF"/>
    <w:rsid w:val="00E8119A"/>
    <w:rsid w:val="00E81752"/>
    <w:rsid w:val="00E82DB7"/>
    <w:rsid w:val="00E837EB"/>
    <w:rsid w:val="00E84305"/>
    <w:rsid w:val="00E862C9"/>
    <w:rsid w:val="00E86973"/>
    <w:rsid w:val="00E86CA2"/>
    <w:rsid w:val="00E9052B"/>
    <w:rsid w:val="00E90B4C"/>
    <w:rsid w:val="00E929B6"/>
    <w:rsid w:val="00E93AAA"/>
    <w:rsid w:val="00E94005"/>
    <w:rsid w:val="00E96F5D"/>
    <w:rsid w:val="00E97E2B"/>
    <w:rsid w:val="00EA11CD"/>
    <w:rsid w:val="00EA2B9C"/>
    <w:rsid w:val="00EA62C0"/>
    <w:rsid w:val="00EA63EB"/>
    <w:rsid w:val="00EA6590"/>
    <w:rsid w:val="00EA66FA"/>
    <w:rsid w:val="00EB1DEB"/>
    <w:rsid w:val="00EB264D"/>
    <w:rsid w:val="00EB2C00"/>
    <w:rsid w:val="00EB3785"/>
    <w:rsid w:val="00EB3E19"/>
    <w:rsid w:val="00EB66ED"/>
    <w:rsid w:val="00EB71F9"/>
    <w:rsid w:val="00EB7292"/>
    <w:rsid w:val="00EB76EC"/>
    <w:rsid w:val="00EC11E7"/>
    <w:rsid w:val="00EC20D3"/>
    <w:rsid w:val="00EC2AF5"/>
    <w:rsid w:val="00EC34B0"/>
    <w:rsid w:val="00EC35C5"/>
    <w:rsid w:val="00EC3B51"/>
    <w:rsid w:val="00EC4D28"/>
    <w:rsid w:val="00EC4DB1"/>
    <w:rsid w:val="00EC5B0F"/>
    <w:rsid w:val="00EC79AD"/>
    <w:rsid w:val="00ED14E5"/>
    <w:rsid w:val="00ED36D6"/>
    <w:rsid w:val="00ED3C38"/>
    <w:rsid w:val="00ED4066"/>
    <w:rsid w:val="00ED56DE"/>
    <w:rsid w:val="00EE15AA"/>
    <w:rsid w:val="00EE2091"/>
    <w:rsid w:val="00EE2A90"/>
    <w:rsid w:val="00EE3284"/>
    <w:rsid w:val="00EE3A10"/>
    <w:rsid w:val="00EE699E"/>
    <w:rsid w:val="00EE762A"/>
    <w:rsid w:val="00EE769A"/>
    <w:rsid w:val="00EF06A0"/>
    <w:rsid w:val="00EF128E"/>
    <w:rsid w:val="00EF4203"/>
    <w:rsid w:val="00EF478D"/>
    <w:rsid w:val="00EF4FDC"/>
    <w:rsid w:val="00EF563F"/>
    <w:rsid w:val="00EF5E02"/>
    <w:rsid w:val="00EF7337"/>
    <w:rsid w:val="00EF7B3B"/>
    <w:rsid w:val="00EF7F21"/>
    <w:rsid w:val="00F006AE"/>
    <w:rsid w:val="00F008B4"/>
    <w:rsid w:val="00F01C82"/>
    <w:rsid w:val="00F02DC9"/>
    <w:rsid w:val="00F0480B"/>
    <w:rsid w:val="00F053B8"/>
    <w:rsid w:val="00F132E8"/>
    <w:rsid w:val="00F14229"/>
    <w:rsid w:val="00F17154"/>
    <w:rsid w:val="00F20C31"/>
    <w:rsid w:val="00F211CF"/>
    <w:rsid w:val="00F22204"/>
    <w:rsid w:val="00F2230C"/>
    <w:rsid w:val="00F226A5"/>
    <w:rsid w:val="00F23A99"/>
    <w:rsid w:val="00F244FE"/>
    <w:rsid w:val="00F24910"/>
    <w:rsid w:val="00F2547A"/>
    <w:rsid w:val="00F26C4F"/>
    <w:rsid w:val="00F27F32"/>
    <w:rsid w:val="00F304D8"/>
    <w:rsid w:val="00F30994"/>
    <w:rsid w:val="00F312F8"/>
    <w:rsid w:val="00F31922"/>
    <w:rsid w:val="00F31DE9"/>
    <w:rsid w:val="00F32590"/>
    <w:rsid w:val="00F3365E"/>
    <w:rsid w:val="00F35F58"/>
    <w:rsid w:val="00F36248"/>
    <w:rsid w:val="00F37349"/>
    <w:rsid w:val="00F423AF"/>
    <w:rsid w:val="00F45E25"/>
    <w:rsid w:val="00F46955"/>
    <w:rsid w:val="00F47BEA"/>
    <w:rsid w:val="00F5050C"/>
    <w:rsid w:val="00F5095D"/>
    <w:rsid w:val="00F531E0"/>
    <w:rsid w:val="00F53FF4"/>
    <w:rsid w:val="00F540BB"/>
    <w:rsid w:val="00F549E4"/>
    <w:rsid w:val="00F55806"/>
    <w:rsid w:val="00F602D2"/>
    <w:rsid w:val="00F61DFF"/>
    <w:rsid w:val="00F61E17"/>
    <w:rsid w:val="00F63032"/>
    <w:rsid w:val="00F66204"/>
    <w:rsid w:val="00F670D5"/>
    <w:rsid w:val="00F7151B"/>
    <w:rsid w:val="00F7208C"/>
    <w:rsid w:val="00F731E0"/>
    <w:rsid w:val="00F73BA7"/>
    <w:rsid w:val="00F7533C"/>
    <w:rsid w:val="00F7635E"/>
    <w:rsid w:val="00F815B7"/>
    <w:rsid w:val="00F822EE"/>
    <w:rsid w:val="00F84953"/>
    <w:rsid w:val="00F86443"/>
    <w:rsid w:val="00F86943"/>
    <w:rsid w:val="00F869BF"/>
    <w:rsid w:val="00F87DC8"/>
    <w:rsid w:val="00F92185"/>
    <w:rsid w:val="00F925C9"/>
    <w:rsid w:val="00F92C8D"/>
    <w:rsid w:val="00F946C4"/>
    <w:rsid w:val="00F9496C"/>
    <w:rsid w:val="00F95712"/>
    <w:rsid w:val="00F959A2"/>
    <w:rsid w:val="00F96A91"/>
    <w:rsid w:val="00F96F9A"/>
    <w:rsid w:val="00FA2232"/>
    <w:rsid w:val="00FA2F27"/>
    <w:rsid w:val="00FA3C12"/>
    <w:rsid w:val="00FA4C45"/>
    <w:rsid w:val="00FA62B7"/>
    <w:rsid w:val="00FB0225"/>
    <w:rsid w:val="00FB0268"/>
    <w:rsid w:val="00FB08E0"/>
    <w:rsid w:val="00FB10B9"/>
    <w:rsid w:val="00FB14E2"/>
    <w:rsid w:val="00FB2466"/>
    <w:rsid w:val="00FB3804"/>
    <w:rsid w:val="00FB3D18"/>
    <w:rsid w:val="00FB3E26"/>
    <w:rsid w:val="00FB44BD"/>
    <w:rsid w:val="00FB4E4D"/>
    <w:rsid w:val="00FB4FC8"/>
    <w:rsid w:val="00FB5152"/>
    <w:rsid w:val="00FB6FDC"/>
    <w:rsid w:val="00FC209F"/>
    <w:rsid w:val="00FC343D"/>
    <w:rsid w:val="00FC5408"/>
    <w:rsid w:val="00FC5695"/>
    <w:rsid w:val="00FC6937"/>
    <w:rsid w:val="00FD18D4"/>
    <w:rsid w:val="00FD3EBD"/>
    <w:rsid w:val="00FD6467"/>
    <w:rsid w:val="00FD665E"/>
    <w:rsid w:val="00FD7A36"/>
    <w:rsid w:val="00FE0112"/>
    <w:rsid w:val="00FE0E03"/>
    <w:rsid w:val="00FE14C7"/>
    <w:rsid w:val="00FE281E"/>
    <w:rsid w:val="00FE4861"/>
    <w:rsid w:val="00FE7C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tabs>
        <w:tab w:val="clear" w:pos="1277"/>
        <w:tab w:val="num" w:pos="1418"/>
      </w:tabs>
      <w:ind w:left="1418"/>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4"/>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right" w:pos="9354"/>
      </w:tabs>
      <w:spacing w:before="60" w:line="240" w:lineRule="auto"/>
      <w:ind w:left="1418" w:hanging="709"/>
    </w:pPr>
    <w:rPr>
      <w:noProof/>
      <w:lang w:eastAsia="en-US"/>
    </w:rPr>
  </w:style>
  <w:style w:type="paragraph" w:styleId="TOC3">
    <w:name w:val="toc 3"/>
    <w:basedOn w:val="Normal"/>
    <w:autoRedefine/>
    <w:semiHidden/>
    <w:rsid w:val="00620C38"/>
    <w:pPr>
      <w:tabs>
        <w:tab w:val="right" w:pos="9354"/>
      </w:tabs>
      <w:spacing w:before="60" w:line="240" w:lineRule="auto"/>
      <w:ind w:left="709"/>
    </w:pPr>
    <w:rPr>
      <w:noProof/>
      <w:lang w:eastAsia="en-US"/>
    </w:rPr>
  </w:style>
  <w:style w:type="paragraph" w:styleId="TOC4">
    <w:name w:val="toc 4"/>
    <w:basedOn w:val="Normal"/>
    <w:next w:val="Normal"/>
    <w:autoRedefine/>
    <w:semiHidden/>
    <w:rsid w:val="00620C38"/>
    <w:pPr>
      <w:tabs>
        <w:tab w:val="right" w:pos="9354"/>
      </w:tabs>
      <w:spacing w:before="60" w:line="240" w:lineRule="auto"/>
      <w:ind w:left="2835" w:hanging="709"/>
    </w:pPr>
    <w:rPr>
      <w:noProof/>
      <w:lang w:eastAsia="en-US"/>
    </w:rPr>
  </w:style>
  <w:style w:type="paragraph" w:styleId="TOC5">
    <w:name w:val="toc 5"/>
    <w:basedOn w:val="Normal"/>
    <w:next w:val="Normal"/>
    <w:autoRedefine/>
    <w:semiHidden/>
    <w:rsid w:val="00620C38"/>
    <w:pPr>
      <w:tabs>
        <w:tab w:val="right" w:pos="9354"/>
      </w:tabs>
      <w:ind w:left="3544" w:hanging="709"/>
    </w:pPr>
    <w:rPr>
      <w:lang w:eastAsia="en-US"/>
    </w:rPr>
  </w:style>
  <w:style w:type="paragraph" w:styleId="TOC6">
    <w:name w:val="toc 6"/>
    <w:basedOn w:val="Normal"/>
    <w:next w:val="Normal"/>
    <w:autoRedefine/>
    <w:semiHidden/>
    <w:rsid w:val="00620C38"/>
    <w:pPr>
      <w:tabs>
        <w:tab w:val="right" w:pos="9354"/>
      </w:tabs>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paragraph" w:styleId="ListParagraph">
    <w:name w:val="List Paragraph"/>
    <w:basedOn w:val="Normal"/>
    <w:uiPriority w:val="34"/>
    <w:qFormat/>
    <w:rsid w:val="00D84D49"/>
    <w:pPr>
      <w:spacing w:before="0" w:after="200" w:line="276" w:lineRule="auto"/>
      <w:ind w:left="720"/>
      <w:contextualSpacing/>
    </w:pPr>
    <w:rPr>
      <w:rFonts w:asciiTheme="minorHAnsi" w:eastAsiaTheme="minorHAnsi" w:hAnsiTheme="minorHAnsi" w:cstheme="minorBidi"/>
      <w:sz w:val="22"/>
      <w:szCs w:val="22"/>
      <w:lang w:val="en-GB" w:eastAsia="en-US"/>
    </w:rPr>
  </w:style>
  <w:style w:type="character" w:styleId="FootnoteReference">
    <w:name w:val="footnote reference"/>
    <w:basedOn w:val="DefaultParagraphFont"/>
    <w:uiPriority w:val="99"/>
    <w:semiHidden/>
    <w:unhideWhenUsed/>
    <w:rsid w:val="004035D4"/>
    <w:rPr>
      <w:vertAlign w:val="superscript"/>
    </w:rPr>
  </w:style>
  <w:style w:type="character" w:styleId="CommentReference">
    <w:name w:val="annotation reference"/>
    <w:basedOn w:val="DefaultParagraphFont"/>
    <w:uiPriority w:val="99"/>
    <w:semiHidden/>
    <w:unhideWhenUsed/>
    <w:rsid w:val="00F053B8"/>
    <w:rPr>
      <w:sz w:val="16"/>
      <w:szCs w:val="16"/>
    </w:rPr>
  </w:style>
  <w:style w:type="paragraph" w:styleId="NormalWeb">
    <w:name w:val="Normal (Web)"/>
    <w:basedOn w:val="Normal"/>
    <w:uiPriority w:val="99"/>
    <w:unhideWhenUsed/>
    <w:rsid w:val="00327DB0"/>
    <w:pPr>
      <w:spacing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semiHidden/>
    <w:unhideWhenUsed/>
    <w:rsid w:val="00F946C4"/>
    <w:pPr>
      <w:spacing w:line="240" w:lineRule="auto"/>
    </w:pPr>
  </w:style>
  <w:style w:type="character" w:customStyle="1" w:styleId="CommentTextChar">
    <w:name w:val="Comment Text Char"/>
    <w:basedOn w:val="DefaultParagraphFont"/>
    <w:link w:val="CommentText"/>
    <w:semiHidden/>
    <w:rsid w:val="00F946C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946C4"/>
    <w:rPr>
      <w:b/>
      <w:bCs/>
    </w:rPr>
  </w:style>
  <w:style w:type="character" w:customStyle="1" w:styleId="CommentSubjectChar">
    <w:name w:val="Comment Subject Char"/>
    <w:basedOn w:val="CommentTextChar"/>
    <w:link w:val="CommentSubject"/>
    <w:uiPriority w:val="99"/>
    <w:semiHidden/>
    <w:rsid w:val="00F946C4"/>
    <w:rPr>
      <w:rFonts w:ascii="Arial" w:eastAsia="Times New Roman" w:hAnsi="Arial" w:cs="Times New Roman"/>
      <w:b/>
      <w:bCs/>
      <w:sz w:val="20"/>
      <w:szCs w:val="20"/>
      <w:lang w:eastAsia="en-AU"/>
    </w:rPr>
  </w:style>
  <w:style w:type="paragraph" w:styleId="Revision">
    <w:name w:val="Revision"/>
    <w:hidden/>
    <w:uiPriority w:val="99"/>
    <w:semiHidden/>
    <w:rsid w:val="00F946C4"/>
    <w:pPr>
      <w:spacing w:after="0" w:line="240" w:lineRule="auto"/>
    </w:pPr>
    <w:rPr>
      <w:rFonts w:ascii="Arial" w:eastAsia="Times New Roman" w:hAnsi="Arial" w:cs="Times New Roman"/>
      <w:sz w:val="20"/>
      <w:szCs w:val="20"/>
      <w:lang w:eastAsia="en-AU"/>
    </w:rPr>
  </w:style>
  <w:style w:type="paragraph" w:styleId="Bibliography">
    <w:name w:val="Bibliography"/>
    <w:basedOn w:val="Normal"/>
    <w:next w:val="Normal"/>
    <w:uiPriority w:val="37"/>
    <w:unhideWhenUsed/>
    <w:rsid w:val="00761EDD"/>
  </w:style>
  <w:style w:type="character" w:customStyle="1" w:styleId="categorydata">
    <w:name w:val="category_data"/>
    <w:basedOn w:val="DefaultParagraphFont"/>
    <w:rsid w:val="00C41292"/>
  </w:style>
  <w:style w:type="character" w:styleId="Strong">
    <w:name w:val="Strong"/>
    <w:basedOn w:val="DefaultParagraphFont"/>
    <w:uiPriority w:val="22"/>
    <w:qFormat/>
    <w:rsid w:val="00B46E26"/>
    <w:rPr>
      <w:b/>
      <w:bCs/>
    </w:rPr>
  </w:style>
  <w:style w:type="paragraph" w:customStyle="1" w:styleId="Default">
    <w:name w:val="Default"/>
    <w:rsid w:val="00CC5CF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9017A"/>
    <w:rPr>
      <w:i/>
      <w:iCs/>
    </w:rPr>
  </w:style>
  <w:style w:type="character" w:styleId="FollowedHyperlink">
    <w:name w:val="FollowedHyperlink"/>
    <w:basedOn w:val="DefaultParagraphFont"/>
    <w:uiPriority w:val="99"/>
    <w:semiHidden/>
    <w:unhideWhenUsed/>
    <w:rsid w:val="00A31EF9"/>
    <w:rPr>
      <w:color w:val="800080" w:themeColor="followedHyperlink"/>
      <w:u w:val="single"/>
    </w:rPr>
  </w:style>
  <w:style w:type="paragraph" w:styleId="EndnoteText">
    <w:name w:val="endnote text"/>
    <w:basedOn w:val="Normal"/>
    <w:link w:val="EndnoteTextChar"/>
    <w:uiPriority w:val="99"/>
    <w:semiHidden/>
    <w:unhideWhenUsed/>
    <w:rsid w:val="00FB14E2"/>
    <w:pPr>
      <w:spacing w:before="0" w:line="240" w:lineRule="auto"/>
    </w:pPr>
  </w:style>
  <w:style w:type="character" w:customStyle="1" w:styleId="EndnoteTextChar">
    <w:name w:val="Endnote Text Char"/>
    <w:basedOn w:val="DefaultParagraphFont"/>
    <w:link w:val="EndnoteText"/>
    <w:uiPriority w:val="99"/>
    <w:semiHidden/>
    <w:rsid w:val="00FB14E2"/>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FB14E2"/>
    <w:rPr>
      <w:vertAlign w:val="superscript"/>
    </w:rPr>
  </w:style>
  <w:style w:type="table" w:customStyle="1" w:styleId="TableGrid1">
    <w:name w:val="Table Grid1"/>
    <w:basedOn w:val="TableNormal"/>
    <w:next w:val="TableGrid"/>
    <w:rsid w:val="004A3F7F"/>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620C38"/>
    <w:pPr>
      <w:keepNext/>
      <w:numPr>
        <w:numId w:val="1"/>
      </w:numPr>
      <w:spacing w:before="2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tabs>
        <w:tab w:val="clear" w:pos="1277"/>
        <w:tab w:val="num" w:pos="1418"/>
      </w:tabs>
      <w:ind w:left="1418"/>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4"/>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right" w:pos="9354"/>
      </w:tabs>
      <w:spacing w:before="60" w:line="240" w:lineRule="auto"/>
      <w:ind w:left="1418" w:hanging="709"/>
    </w:pPr>
    <w:rPr>
      <w:noProof/>
      <w:lang w:eastAsia="en-US"/>
    </w:rPr>
  </w:style>
  <w:style w:type="paragraph" w:styleId="TOC3">
    <w:name w:val="toc 3"/>
    <w:basedOn w:val="Normal"/>
    <w:autoRedefine/>
    <w:semiHidden/>
    <w:rsid w:val="00620C38"/>
    <w:pPr>
      <w:tabs>
        <w:tab w:val="right" w:pos="9354"/>
      </w:tabs>
      <w:spacing w:before="60" w:line="240" w:lineRule="auto"/>
      <w:ind w:left="709"/>
    </w:pPr>
    <w:rPr>
      <w:noProof/>
      <w:lang w:eastAsia="en-US"/>
    </w:rPr>
  </w:style>
  <w:style w:type="paragraph" w:styleId="TOC4">
    <w:name w:val="toc 4"/>
    <w:basedOn w:val="Normal"/>
    <w:next w:val="Normal"/>
    <w:autoRedefine/>
    <w:semiHidden/>
    <w:rsid w:val="00620C38"/>
    <w:pPr>
      <w:tabs>
        <w:tab w:val="right" w:pos="9354"/>
      </w:tabs>
      <w:spacing w:before="60" w:line="240" w:lineRule="auto"/>
      <w:ind w:left="2835" w:hanging="709"/>
    </w:pPr>
    <w:rPr>
      <w:noProof/>
      <w:lang w:eastAsia="en-US"/>
    </w:rPr>
  </w:style>
  <w:style w:type="paragraph" w:styleId="TOC5">
    <w:name w:val="toc 5"/>
    <w:basedOn w:val="Normal"/>
    <w:next w:val="Normal"/>
    <w:autoRedefine/>
    <w:semiHidden/>
    <w:rsid w:val="00620C38"/>
    <w:pPr>
      <w:tabs>
        <w:tab w:val="right" w:pos="9354"/>
      </w:tabs>
      <w:ind w:left="3544" w:hanging="709"/>
    </w:pPr>
    <w:rPr>
      <w:lang w:eastAsia="en-US"/>
    </w:rPr>
  </w:style>
  <w:style w:type="paragraph" w:styleId="TOC6">
    <w:name w:val="toc 6"/>
    <w:basedOn w:val="Normal"/>
    <w:next w:val="Normal"/>
    <w:autoRedefine/>
    <w:semiHidden/>
    <w:rsid w:val="00620C38"/>
    <w:pPr>
      <w:tabs>
        <w:tab w:val="right" w:pos="9354"/>
      </w:tabs>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paragraph" w:styleId="ListParagraph">
    <w:name w:val="List Paragraph"/>
    <w:basedOn w:val="Normal"/>
    <w:uiPriority w:val="34"/>
    <w:qFormat/>
    <w:rsid w:val="00D84D49"/>
    <w:pPr>
      <w:spacing w:before="0" w:after="200" w:line="276" w:lineRule="auto"/>
      <w:ind w:left="720"/>
      <w:contextualSpacing/>
    </w:pPr>
    <w:rPr>
      <w:rFonts w:asciiTheme="minorHAnsi" w:eastAsiaTheme="minorHAnsi" w:hAnsiTheme="minorHAnsi" w:cstheme="minorBidi"/>
      <w:sz w:val="22"/>
      <w:szCs w:val="22"/>
      <w:lang w:val="en-GB" w:eastAsia="en-US"/>
    </w:rPr>
  </w:style>
  <w:style w:type="character" w:styleId="FootnoteReference">
    <w:name w:val="footnote reference"/>
    <w:basedOn w:val="DefaultParagraphFont"/>
    <w:uiPriority w:val="99"/>
    <w:semiHidden/>
    <w:unhideWhenUsed/>
    <w:rsid w:val="004035D4"/>
    <w:rPr>
      <w:vertAlign w:val="superscript"/>
    </w:rPr>
  </w:style>
  <w:style w:type="character" w:styleId="CommentReference">
    <w:name w:val="annotation reference"/>
    <w:basedOn w:val="DefaultParagraphFont"/>
    <w:uiPriority w:val="99"/>
    <w:semiHidden/>
    <w:unhideWhenUsed/>
    <w:rsid w:val="00F053B8"/>
    <w:rPr>
      <w:sz w:val="16"/>
      <w:szCs w:val="16"/>
    </w:rPr>
  </w:style>
  <w:style w:type="paragraph" w:styleId="NormalWeb">
    <w:name w:val="Normal (Web)"/>
    <w:basedOn w:val="Normal"/>
    <w:uiPriority w:val="99"/>
    <w:unhideWhenUsed/>
    <w:rsid w:val="00327DB0"/>
    <w:pPr>
      <w:spacing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semiHidden/>
    <w:unhideWhenUsed/>
    <w:rsid w:val="00F946C4"/>
    <w:pPr>
      <w:spacing w:line="240" w:lineRule="auto"/>
    </w:pPr>
  </w:style>
  <w:style w:type="character" w:customStyle="1" w:styleId="CommentTextChar">
    <w:name w:val="Comment Text Char"/>
    <w:basedOn w:val="DefaultParagraphFont"/>
    <w:link w:val="CommentText"/>
    <w:semiHidden/>
    <w:rsid w:val="00F946C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946C4"/>
    <w:rPr>
      <w:b/>
      <w:bCs/>
    </w:rPr>
  </w:style>
  <w:style w:type="character" w:customStyle="1" w:styleId="CommentSubjectChar">
    <w:name w:val="Comment Subject Char"/>
    <w:basedOn w:val="CommentTextChar"/>
    <w:link w:val="CommentSubject"/>
    <w:uiPriority w:val="99"/>
    <w:semiHidden/>
    <w:rsid w:val="00F946C4"/>
    <w:rPr>
      <w:rFonts w:ascii="Arial" w:eastAsia="Times New Roman" w:hAnsi="Arial" w:cs="Times New Roman"/>
      <w:b/>
      <w:bCs/>
      <w:sz w:val="20"/>
      <w:szCs w:val="20"/>
      <w:lang w:eastAsia="en-AU"/>
    </w:rPr>
  </w:style>
  <w:style w:type="paragraph" w:styleId="Revision">
    <w:name w:val="Revision"/>
    <w:hidden/>
    <w:uiPriority w:val="99"/>
    <w:semiHidden/>
    <w:rsid w:val="00F946C4"/>
    <w:pPr>
      <w:spacing w:after="0" w:line="240" w:lineRule="auto"/>
    </w:pPr>
    <w:rPr>
      <w:rFonts w:ascii="Arial" w:eastAsia="Times New Roman" w:hAnsi="Arial" w:cs="Times New Roman"/>
      <w:sz w:val="20"/>
      <w:szCs w:val="20"/>
      <w:lang w:eastAsia="en-AU"/>
    </w:rPr>
  </w:style>
  <w:style w:type="paragraph" w:styleId="Bibliography">
    <w:name w:val="Bibliography"/>
    <w:basedOn w:val="Normal"/>
    <w:next w:val="Normal"/>
    <w:uiPriority w:val="37"/>
    <w:unhideWhenUsed/>
    <w:rsid w:val="00761EDD"/>
  </w:style>
  <w:style w:type="character" w:customStyle="1" w:styleId="categorydata">
    <w:name w:val="category_data"/>
    <w:basedOn w:val="DefaultParagraphFont"/>
    <w:rsid w:val="00C41292"/>
  </w:style>
  <w:style w:type="character" w:styleId="Strong">
    <w:name w:val="Strong"/>
    <w:basedOn w:val="DefaultParagraphFont"/>
    <w:uiPriority w:val="22"/>
    <w:qFormat/>
    <w:rsid w:val="00B46E26"/>
    <w:rPr>
      <w:b/>
      <w:bCs/>
    </w:rPr>
  </w:style>
  <w:style w:type="paragraph" w:customStyle="1" w:styleId="Default">
    <w:name w:val="Default"/>
    <w:rsid w:val="00CC5CF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9017A"/>
    <w:rPr>
      <w:i/>
      <w:iCs/>
    </w:rPr>
  </w:style>
  <w:style w:type="character" w:styleId="FollowedHyperlink">
    <w:name w:val="FollowedHyperlink"/>
    <w:basedOn w:val="DefaultParagraphFont"/>
    <w:uiPriority w:val="99"/>
    <w:semiHidden/>
    <w:unhideWhenUsed/>
    <w:rsid w:val="00A31EF9"/>
    <w:rPr>
      <w:color w:val="800080" w:themeColor="followedHyperlink"/>
      <w:u w:val="single"/>
    </w:rPr>
  </w:style>
  <w:style w:type="paragraph" w:styleId="EndnoteText">
    <w:name w:val="endnote text"/>
    <w:basedOn w:val="Normal"/>
    <w:link w:val="EndnoteTextChar"/>
    <w:uiPriority w:val="99"/>
    <w:semiHidden/>
    <w:unhideWhenUsed/>
    <w:rsid w:val="00FB14E2"/>
    <w:pPr>
      <w:spacing w:before="0" w:line="240" w:lineRule="auto"/>
    </w:pPr>
  </w:style>
  <w:style w:type="character" w:customStyle="1" w:styleId="EndnoteTextChar">
    <w:name w:val="Endnote Text Char"/>
    <w:basedOn w:val="DefaultParagraphFont"/>
    <w:link w:val="EndnoteText"/>
    <w:uiPriority w:val="99"/>
    <w:semiHidden/>
    <w:rsid w:val="00FB14E2"/>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FB14E2"/>
    <w:rPr>
      <w:vertAlign w:val="superscript"/>
    </w:rPr>
  </w:style>
  <w:style w:type="table" w:customStyle="1" w:styleId="TableGrid1">
    <w:name w:val="Table Grid1"/>
    <w:basedOn w:val="TableNormal"/>
    <w:next w:val="TableGrid"/>
    <w:rsid w:val="004A3F7F"/>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184">
      <w:bodyDiv w:val="1"/>
      <w:marLeft w:val="0"/>
      <w:marRight w:val="0"/>
      <w:marTop w:val="0"/>
      <w:marBottom w:val="0"/>
      <w:divBdr>
        <w:top w:val="none" w:sz="0" w:space="0" w:color="auto"/>
        <w:left w:val="none" w:sz="0" w:space="0" w:color="auto"/>
        <w:bottom w:val="none" w:sz="0" w:space="0" w:color="auto"/>
        <w:right w:val="none" w:sz="0" w:space="0" w:color="auto"/>
      </w:divBdr>
    </w:div>
    <w:div w:id="23599588">
      <w:bodyDiv w:val="1"/>
      <w:marLeft w:val="0"/>
      <w:marRight w:val="0"/>
      <w:marTop w:val="0"/>
      <w:marBottom w:val="0"/>
      <w:divBdr>
        <w:top w:val="none" w:sz="0" w:space="0" w:color="auto"/>
        <w:left w:val="none" w:sz="0" w:space="0" w:color="auto"/>
        <w:bottom w:val="none" w:sz="0" w:space="0" w:color="auto"/>
        <w:right w:val="none" w:sz="0" w:space="0" w:color="auto"/>
      </w:divBdr>
    </w:div>
    <w:div w:id="56326520">
      <w:bodyDiv w:val="1"/>
      <w:marLeft w:val="0"/>
      <w:marRight w:val="0"/>
      <w:marTop w:val="0"/>
      <w:marBottom w:val="0"/>
      <w:divBdr>
        <w:top w:val="none" w:sz="0" w:space="0" w:color="auto"/>
        <w:left w:val="none" w:sz="0" w:space="0" w:color="auto"/>
        <w:bottom w:val="none" w:sz="0" w:space="0" w:color="auto"/>
        <w:right w:val="none" w:sz="0" w:space="0" w:color="auto"/>
      </w:divBdr>
    </w:div>
    <w:div w:id="127868334">
      <w:bodyDiv w:val="1"/>
      <w:marLeft w:val="0"/>
      <w:marRight w:val="0"/>
      <w:marTop w:val="0"/>
      <w:marBottom w:val="0"/>
      <w:divBdr>
        <w:top w:val="none" w:sz="0" w:space="0" w:color="auto"/>
        <w:left w:val="none" w:sz="0" w:space="0" w:color="auto"/>
        <w:bottom w:val="none" w:sz="0" w:space="0" w:color="auto"/>
        <w:right w:val="none" w:sz="0" w:space="0" w:color="auto"/>
      </w:divBdr>
      <w:divsChild>
        <w:div w:id="2124617843">
          <w:marLeft w:val="0"/>
          <w:marRight w:val="0"/>
          <w:marTop w:val="0"/>
          <w:marBottom w:val="0"/>
          <w:divBdr>
            <w:top w:val="none" w:sz="0" w:space="0" w:color="auto"/>
            <w:left w:val="none" w:sz="0" w:space="0" w:color="auto"/>
            <w:bottom w:val="none" w:sz="0" w:space="0" w:color="auto"/>
            <w:right w:val="none" w:sz="0" w:space="0" w:color="auto"/>
          </w:divBdr>
          <w:divsChild>
            <w:div w:id="524557107">
              <w:marLeft w:val="0"/>
              <w:marRight w:val="0"/>
              <w:marTop w:val="0"/>
              <w:marBottom w:val="0"/>
              <w:divBdr>
                <w:top w:val="none" w:sz="0" w:space="0" w:color="auto"/>
                <w:left w:val="none" w:sz="0" w:space="0" w:color="auto"/>
                <w:bottom w:val="none" w:sz="0" w:space="0" w:color="auto"/>
                <w:right w:val="none" w:sz="0" w:space="0" w:color="auto"/>
              </w:divBdr>
              <w:divsChild>
                <w:div w:id="28846200">
                  <w:marLeft w:val="0"/>
                  <w:marRight w:val="0"/>
                  <w:marTop w:val="0"/>
                  <w:marBottom w:val="0"/>
                  <w:divBdr>
                    <w:top w:val="none" w:sz="0" w:space="0" w:color="auto"/>
                    <w:left w:val="none" w:sz="0" w:space="0" w:color="auto"/>
                    <w:bottom w:val="none" w:sz="0" w:space="0" w:color="auto"/>
                    <w:right w:val="none" w:sz="0" w:space="0" w:color="auto"/>
                  </w:divBdr>
                  <w:divsChild>
                    <w:div w:id="1102148162">
                      <w:marLeft w:val="0"/>
                      <w:marRight w:val="0"/>
                      <w:marTop w:val="0"/>
                      <w:marBottom w:val="0"/>
                      <w:divBdr>
                        <w:top w:val="none" w:sz="0" w:space="0" w:color="auto"/>
                        <w:left w:val="none" w:sz="0" w:space="0" w:color="auto"/>
                        <w:bottom w:val="none" w:sz="0" w:space="0" w:color="auto"/>
                        <w:right w:val="none" w:sz="0" w:space="0" w:color="auto"/>
                      </w:divBdr>
                      <w:divsChild>
                        <w:div w:id="428277948">
                          <w:marLeft w:val="0"/>
                          <w:marRight w:val="0"/>
                          <w:marTop w:val="0"/>
                          <w:marBottom w:val="0"/>
                          <w:divBdr>
                            <w:top w:val="none" w:sz="0" w:space="0" w:color="auto"/>
                            <w:left w:val="none" w:sz="0" w:space="0" w:color="auto"/>
                            <w:bottom w:val="none" w:sz="0" w:space="0" w:color="auto"/>
                            <w:right w:val="none" w:sz="0" w:space="0" w:color="auto"/>
                          </w:divBdr>
                          <w:divsChild>
                            <w:div w:id="1231311531">
                              <w:marLeft w:val="0"/>
                              <w:marRight w:val="0"/>
                              <w:marTop w:val="0"/>
                              <w:marBottom w:val="0"/>
                              <w:divBdr>
                                <w:top w:val="none" w:sz="0" w:space="0" w:color="auto"/>
                                <w:left w:val="none" w:sz="0" w:space="0" w:color="auto"/>
                                <w:bottom w:val="none" w:sz="0" w:space="0" w:color="auto"/>
                                <w:right w:val="none" w:sz="0" w:space="0" w:color="auto"/>
                              </w:divBdr>
                              <w:divsChild>
                                <w:div w:id="810173079">
                                  <w:marLeft w:val="0"/>
                                  <w:marRight w:val="0"/>
                                  <w:marTop w:val="0"/>
                                  <w:marBottom w:val="0"/>
                                  <w:divBdr>
                                    <w:top w:val="none" w:sz="0" w:space="0" w:color="auto"/>
                                    <w:left w:val="none" w:sz="0" w:space="0" w:color="auto"/>
                                    <w:bottom w:val="none" w:sz="0" w:space="0" w:color="auto"/>
                                    <w:right w:val="none" w:sz="0" w:space="0" w:color="auto"/>
                                  </w:divBdr>
                                  <w:divsChild>
                                    <w:div w:id="97415794">
                                      <w:marLeft w:val="0"/>
                                      <w:marRight w:val="0"/>
                                      <w:marTop w:val="0"/>
                                      <w:marBottom w:val="0"/>
                                      <w:divBdr>
                                        <w:top w:val="none" w:sz="0" w:space="0" w:color="auto"/>
                                        <w:left w:val="none" w:sz="0" w:space="0" w:color="auto"/>
                                        <w:bottom w:val="none" w:sz="0" w:space="0" w:color="auto"/>
                                        <w:right w:val="none" w:sz="0" w:space="0" w:color="auto"/>
                                      </w:divBdr>
                                      <w:divsChild>
                                        <w:div w:id="2053067068">
                                          <w:marLeft w:val="0"/>
                                          <w:marRight w:val="0"/>
                                          <w:marTop w:val="0"/>
                                          <w:marBottom w:val="0"/>
                                          <w:divBdr>
                                            <w:top w:val="none" w:sz="0" w:space="0" w:color="auto"/>
                                            <w:left w:val="none" w:sz="0" w:space="0" w:color="auto"/>
                                            <w:bottom w:val="none" w:sz="0" w:space="0" w:color="auto"/>
                                            <w:right w:val="none" w:sz="0" w:space="0" w:color="auto"/>
                                          </w:divBdr>
                                          <w:divsChild>
                                            <w:div w:id="471679160">
                                              <w:marLeft w:val="0"/>
                                              <w:marRight w:val="0"/>
                                              <w:marTop w:val="0"/>
                                              <w:marBottom w:val="0"/>
                                              <w:divBdr>
                                                <w:top w:val="none" w:sz="0" w:space="0" w:color="auto"/>
                                                <w:left w:val="none" w:sz="0" w:space="0" w:color="auto"/>
                                                <w:bottom w:val="none" w:sz="0" w:space="0" w:color="auto"/>
                                                <w:right w:val="none" w:sz="0" w:space="0" w:color="auto"/>
                                              </w:divBdr>
                                              <w:divsChild>
                                                <w:div w:id="738870231">
                                                  <w:marLeft w:val="0"/>
                                                  <w:marRight w:val="0"/>
                                                  <w:marTop w:val="0"/>
                                                  <w:marBottom w:val="0"/>
                                                  <w:divBdr>
                                                    <w:top w:val="none" w:sz="0" w:space="0" w:color="auto"/>
                                                    <w:left w:val="none" w:sz="0" w:space="0" w:color="auto"/>
                                                    <w:bottom w:val="none" w:sz="0" w:space="0" w:color="auto"/>
                                                    <w:right w:val="none" w:sz="0" w:space="0" w:color="auto"/>
                                                  </w:divBdr>
                                                  <w:divsChild>
                                                    <w:div w:id="1856575815">
                                                      <w:marLeft w:val="0"/>
                                                      <w:marRight w:val="0"/>
                                                      <w:marTop w:val="0"/>
                                                      <w:marBottom w:val="0"/>
                                                      <w:divBdr>
                                                        <w:top w:val="none" w:sz="0" w:space="0" w:color="auto"/>
                                                        <w:left w:val="none" w:sz="0" w:space="0" w:color="auto"/>
                                                        <w:bottom w:val="none" w:sz="0" w:space="0" w:color="auto"/>
                                                        <w:right w:val="none" w:sz="0" w:space="0" w:color="auto"/>
                                                      </w:divBdr>
                                                    </w:div>
                                                    <w:div w:id="8923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07575">
      <w:bodyDiv w:val="1"/>
      <w:marLeft w:val="0"/>
      <w:marRight w:val="0"/>
      <w:marTop w:val="0"/>
      <w:marBottom w:val="0"/>
      <w:divBdr>
        <w:top w:val="none" w:sz="0" w:space="0" w:color="auto"/>
        <w:left w:val="none" w:sz="0" w:space="0" w:color="auto"/>
        <w:bottom w:val="none" w:sz="0" w:space="0" w:color="auto"/>
        <w:right w:val="none" w:sz="0" w:space="0" w:color="auto"/>
      </w:divBdr>
    </w:div>
    <w:div w:id="321550206">
      <w:bodyDiv w:val="1"/>
      <w:marLeft w:val="0"/>
      <w:marRight w:val="0"/>
      <w:marTop w:val="0"/>
      <w:marBottom w:val="0"/>
      <w:divBdr>
        <w:top w:val="none" w:sz="0" w:space="0" w:color="auto"/>
        <w:left w:val="none" w:sz="0" w:space="0" w:color="auto"/>
        <w:bottom w:val="none" w:sz="0" w:space="0" w:color="auto"/>
        <w:right w:val="none" w:sz="0" w:space="0" w:color="auto"/>
      </w:divBdr>
    </w:div>
    <w:div w:id="403181464">
      <w:bodyDiv w:val="1"/>
      <w:marLeft w:val="0"/>
      <w:marRight w:val="0"/>
      <w:marTop w:val="0"/>
      <w:marBottom w:val="0"/>
      <w:divBdr>
        <w:top w:val="none" w:sz="0" w:space="0" w:color="auto"/>
        <w:left w:val="none" w:sz="0" w:space="0" w:color="auto"/>
        <w:bottom w:val="none" w:sz="0" w:space="0" w:color="auto"/>
        <w:right w:val="none" w:sz="0" w:space="0" w:color="auto"/>
      </w:divBdr>
    </w:div>
    <w:div w:id="406532714">
      <w:bodyDiv w:val="1"/>
      <w:marLeft w:val="0"/>
      <w:marRight w:val="0"/>
      <w:marTop w:val="0"/>
      <w:marBottom w:val="0"/>
      <w:divBdr>
        <w:top w:val="none" w:sz="0" w:space="0" w:color="auto"/>
        <w:left w:val="none" w:sz="0" w:space="0" w:color="auto"/>
        <w:bottom w:val="none" w:sz="0" w:space="0" w:color="auto"/>
        <w:right w:val="none" w:sz="0" w:space="0" w:color="auto"/>
      </w:divBdr>
    </w:div>
    <w:div w:id="407193197">
      <w:bodyDiv w:val="1"/>
      <w:marLeft w:val="0"/>
      <w:marRight w:val="0"/>
      <w:marTop w:val="0"/>
      <w:marBottom w:val="0"/>
      <w:divBdr>
        <w:top w:val="none" w:sz="0" w:space="0" w:color="auto"/>
        <w:left w:val="none" w:sz="0" w:space="0" w:color="auto"/>
        <w:bottom w:val="none" w:sz="0" w:space="0" w:color="auto"/>
        <w:right w:val="none" w:sz="0" w:space="0" w:color="auto"/>
      </w:divBdr>
      <w:divsChild>
        <w:div w:id="704864784">
          <w:marLeft w:val="547"/>
          <w:marRight w:val="0"/>
          <w:marTop w:val="0"/>
          <w:marBottom w:val="0"/>
          <w:divBdr>
            <w:top w:val="none" w:sz="0" w:space="0" w:color="auto"/>
            <w:left w:val="none" w:sz="0" w:space="0" w:color="auto"/>
            <w:bottom w:val="none" w:sz="0" w:space="0" w:color="auto"/>
            <w:right w:val="none" w:sz="0" w:space="0" w:color="auto"/>
          </w:divBdr>
        </w:div>
      </w:divsChild>
    </w:div>
    <w:div w:id="440227773">
      <w:bodyDiv w:val="1"/>
      <w:marLeft w:val="0"/>
      <w:marRight w:val="0"/>
      <w:marTop w:val="0"/>
      <w:marBottom w:val="0"/>
      <w:divBdr>
        <w:top w:val="none" w:sz="0" w:space="0" w:color="auto"/>
        <w:left w:val="none" w:sz="0" w:space="0" w:color="auto"/>
        <w:bottom w:val="none" w:sz="0" w:space="0" w:color="auto"/>
        <w:right w:val="none" w:sz="0" w:space="0" w:color="auto"/>
      </w:divBdr>
    </w:div>
    <w:div w:id="523792751">
      <w:bodyDiv w:val="1"/>
      <w:marLeft w:val="0"/>
      <w:marRight w:val="0"/>
      <w:marTop w:val="0"/>
      <w:marBottom w:val="0"/>
      <w:divBdr>
        <w:top w:val="none" w:sz="0" w:space="0" w:color="auto"/>
        <w:left w:val="none" w:sz="0" w:space="0" w:color="auto"/>
        <w:bottom w:val="none" w:sz="0" w:space="0" w:color="auto"/>
        <w:right w:val="none" w:sz="0" w:space="0" w:color="auto"/>
      </w:divBdr>
    </w:div>
    <w:div w:id="550001097">
      <w:bodyDiv w:val="1"/>
      <w:marLeft w:val="0"/>
      <w:marRight w:val="0"/>
      <w:marTop w:val="0"/>
      <w:marBottom w:val="0"/>
      <w:divBdr>
        <w:top w:val="none" w:sz="0" w:space="0" w:color="auto"/>
        <w:left w:val="none" w:sz="0" w:space="0" w:color="auto"/>
        <w:bottom w:val="none" w:sz="0" w:space="0" w:color="auto"/>
        <w:right w:val="none" w:sz="0" w:space="0" w:color="auto"/>
      </w:divBdr>
    </w:div>
    <w:div w:id="603995184">
      <w:bodyDiv w:val="1"/>
      <w:marLeft w:val="0"/>
      <w:marRight w:val="0"/>
      <w:marTop w:val="0"/>
      <w:marBottom w:val="0"/>
      <w:divBdr>
        <w:top w:val="none" w:sz="0" w:space="0" w:color="auto"/>
        <w:left w:val="none" w:sz="0" w:space="0" w:color="auto"/>
        <w:bottom w:val="none" w:sz="0" w:space="0" w:color="auto"/>
        <w:right w:val="none" w:sz="0" w:space="0" w:color="auto"/>
      </w:divBdr>
    </w:div>
    <w:div w:id="624237666">
      <w:bodyDiv w:val="1"/>
      <w:marLeft w:val="0"/>
      <w:marRight w:val="0"/>
      <w:marTop w:val="0"/>
      <w:marBottom w:val="0"/>
      <w:divBdr>
        <w:top w:val="none" w:sz="0" w:space="0" w:color="auto"/>
        <w:left w:val="none" w:sz="0" w:space="0" w:color="auto"/>
        <w:bottom w:val="none" w:sz="0" w:space="0" w:color="auto"/>
        <w:right w:val="none" w:sz="0" w:space="0" w:color="auto"/>
      </w:divBdr>
    </w:div>
    <w:div w:id="665865364">
      <w:bodyDiv w:val="1"/>
      <w:marLeft w:val="0"/>
      <w:marRight w:val="0"/>
      <w:marTop w:val="0"/>
      <w:marBottom w:val="0"/>
      <w:divBdr>
        <w:top w:val="none" w:sz="0" w:space="0" w:color="auto"/>
        <w:left w:val="none" w:sz="0" w:space="0" w:color="auto"/>
        <w:bottom w:val="none" w:sz="0" w:space="0" w:color="auto"/>
        <w:right w:val="none" w:sz="0" w:space="0" w:color="auto"/>
      </w:divBdr>
    </w:div>
    <w:div w:id="815537626">
      <w:bodyDiv w:val="1"/>
      <w:marLeft w:val="0"/>
      <w:marRight w:val="0"/>
      <w:marTop w:val="0"/>
      <w:marBottom w:val="0"/>
      <w:divBdr>
        <w:top w:val="none" w:sz="0" w:space="0" w:color="auto"/>
        <w:left w:val="none" w:sz="0" w:space="0" w:color="auto"/>
        <w:bottom w:val="none" w:sz="0" w:space="0" w:color="auto"/>
        <w:right w:val="none" w:sz="0" w:space="0" w:color="auto"/>
      </w:divBdr>
    </w:div>
    <w:div w:id="906840643">
      <w:bodyDiv w:val="1"/>
      <w:marLeft w:val="0"/>
      <w:marRight w:val="0"/>
      <w:marTop w:val="0"/>
      <w:marBottom w:val="0"/>
      <w:divBdr>
        <w:top w:val="none" w:sz="0" w:space="0" w:color="auto"/>
        <w:left w:val="none" w:sz="0" w:space="0" w:color="auto"/>
        <w:bottom w:val="none" w:sz="0" w:space="0" w:color="auto"/>
        <w:right w:val="none" w:sz="0" w:space="0" w:color="auto"/>
      </w:divBdr>
    </w:div>
    <w:div w:id="1172574435">
      <w:bodyDiv w:val="1"/>
      <w:marLeft w:val="0"/>
      <w:marRight w:val="0"/>
      <w:marTop w:val="0"/>
      <w:marBottom w:val="0"/>
      <w:divBdr>
        <w:top w:val="none" w:sz="0" w:space="0" w:color="auto"/>
        <w:left w:val="none" w:sz="0" w:space="0" w:color="auto"/>
        <w:bottom w:val="none" w:sz="0" w:space="0" w:color="auto"/>
        <w:right w:val="none" w:sz="0" w:space="0" w:color="auto"/>
      </w:divBdr>
      <w:divsChild>
        <w:div w:id="1797216557">
          <w:marLeft w:val="547"/>
          <w:marRight w:val="0"/>
          <w:marTop w:val="0"/>
          <w:marBottom w:val="0"/>
          <w:divBdr>
            <w:top w:val="none" w:sz="0" w:space="0" w:color="auto"/>
            <w:left w:val="none" w:sz="0" w:space="0" w:color="auto"/>
            <w:bottom w:val="none" w:sz="0" w:space="0" w:color="auto"/>
            <w:right w:val="none" w:sz="0" w:space="0" w:color="auto"/>
          </w:divBdr>
        </w:div>
      </w:divsChild>
    </w:div>
    <w:div w:id="1223327742">
      <w:bodyDiv w:val="1"/>
      <w:marLeft w:val="0"/>
      <w:marRight w:val="0"/>
      <w:marTop w:val="0"/>
      <w:marBottom w:val="0"/>
      <w:divBdr>
        <w:top w:val="none" w:sz="0" w:space="0" w:color="auto"/>
        <w:left w:val="none" w:sz="0" w:space="0" w:color="auto"/>
        <w:bottom w:val="none" w:sz="0" w:space="0" w:color="auto"/>
        <w:right w:val="none" w:sz="0" w:space="0" w:color="auto"/>
      </w:divBdr>
    </w:div>
    <w:div w:id="1238251874">
      <w:bodyDiv w:val="1"/>
      <w:marLeft w:val="0"/>
      <w:marRight w:val="0"/>
      <w:marTop w:val="0"/>
      <w:marBottom w:val="0"/>
      <w:divBdr>
        <w:top w:val="none" w:sz="0" w:space="0" w:color="auto"/>
        <w:left w:val="none" w:sz="0" w:space="0" w:color="auto"/>
        <w:bottom w:val="none" w:sz="0" w:space="0" w:color="auto"/>
        <w:right w:val="none" w:sz="0" w:space="0" w:color="auto"/>
      </w:divBdr>
    </w:div>
    <w:div w:id="1272008403">
      <w:bodyDiv w:val="1"/>
      <w:marLeft w:val="0"/>
      <w:marRight w:val="0"/>
      <w:marTop w:val="0"/>
      <w:marBottom w:val="0"/>
      <w:divBdr>
        <w:top w:val="none" w:sz="0" w:space="0" w:color="auto"/>
        <w:left w:val="none" w:sz="0" w:space="0" w:color="auto"/>
        <w:bottom w:val="none" w:sz="0" w:space="0" w:color="auto"/>
        <w:right w:val="none" w:sz="0" w:space="0" w:color="auto"/>
      </w:divBdr>
    </w:div>
    <w:div w:id="1290362477">
      <w:bodyDiv w:val="1"/>
      <w:marLeft w:val="0"/>
      <w:marRight w:val="0"/>
      <w:marTop w:val="0"/>
      <w:marBottom w:val="0"/>
      <w:divBdr>
        <w:top w:val="none" w:sz="0" w:space="0" w:color="auto"/>
        <w:left w:val="none" w:sz="0" w:space="0" w:color="auto"/>
        <w:bottom w:val="none" w:sz="0" w:space="0" w:color="auto"/>
        <w:right w:val="none" w:sz="0" w:space="0" w:color="auto"/>
      </w:divBdr>
    </w:div>
    <w:div w:id="1307277310">
      <w:bodyDiv w:val="1"/>
      <w:marLeft w:val="0"/>
      <w:marRight w:val="0"/>
      <w:marTop w:val="0"/>
      <w:marBottom w:val="0"/>
      <w:divBdr>
        <w:top w:val="none" w:sz="0" w:space="0" w:color="auto"/>
        <w:left w:val="none" w:sz="0" w:space="0" w:color="auto"/>
        <w:bottom w:val="none" w:sz="0" w:space="0" w:color="auto"/>
        <w:right w:val="none" w:sz="0" w:space="0" w:color="auto"/>
      </w:divBdr>
    </w:div>
    <w:div w:id="1365905281">
      <w:bodyDiv w:val="1"/>
      <w:marLeft w:val="0"/>
      <w:marRight w:val="0"/>
      <w:marTop w:val="0"/>
      <w:marBottom w:val="0"/>
      <w:divBdr>
        <w:top w:val="none" w:sz="0" w:space="0" w:color="auto"/>
        <w:left w:val="none" w:sz="0" w:space="0" w:color="auto"/>
        <w:bottom w:val="none" w:sz="0" w:space="0" w:color="auto"/>
        <w:right w:val="none" w:sz="0" w:space="0" w:color="auto"/>
      </w:divBdr>
    </w:div>
    <w:div w:id="1584873821">
      <w:bodyDiv w:val="1"/>
      <w:marLeft w:val="0"/>
      <w:marRight w:val="0"/>
      <w:marTop w:val="0"/>
      <w:marBottom w:val="0"/>
      <w:divBdr>
        <w:top w:val="none" w:sz="0" w:space="0" w:color="auto"/>
        <w:left w:val="none" w:sz="0" w:space="0" w:color="auto"/>
        <w:bottom w:val="none" w:sz="0" w:space="0" w:color="auto"/>
        <w:right w:val="none" w:sz="0" w:space="0" w:color="auto"/>
      </w:divBdr>
    </w:div>
    <w:div w:id="1606034164">
      <w:bodyDiv w:val="1"/>
      <w:marLeft w:val="0"/>
      <w:marRight w:val="0"/>
      <w:marTop w:val="0"/>
      <w:marBottom w:val="0"/>
      <w:divBdr>
        <w:top w:val="none" w:sz="0" w:space="0" w:color="auto"/>
        <w:left w:val="none" w:sz="0" w:space="0" w:color="auto"/>
        <w:bottom w:val="none" w:sz="0" w:space="0" w:color="auto"/>
        <w:right w:val="none" w:sz="0" w:space="0" w:color="auto"/>
      </w:divBdr>
    </w:div>
    <w:div w:id="1763990508">
      <w:bodyDiv w:val="1"/>
      <w:marLeft w:val="0"/>
      <w:marRight w:val="0"/>
      <w:marTop w:val="0"/>
      <w:marBottom w:val="0"/>
      <w:divBdr>
        <w:top w:val="none" w:sz="0" w:space="0" w:color="auto"/>
        <w:left w:val="none" w:sz="0" w:space="0" w:color="auto"/>
        <w:bottom w:val="none" w:sz="0" w:space="0" w:color="auto"/>
        <w:right w:val="none" w:sz="0" w:space="0" w:color="auto"/>
      </w:divBdr>
    </w:div>
    <w:div w:id="1795900552">
      <w:bodyDiv w:val="1"/>
      <w:marLeft w:val="0"/>
      <w:marRight w:val="0"/>
      <w:marTop w:val="0"/>
      <w:marBottom w:val="0"/>
      <w:divBdr>
        <w:top w:val="none" w:sz="0" w:space="0" w:color="auto"/>
        <w:left w:val="none" w:sz="0" w:space="0" w:color="auto"/>
        <w:bottom w:val="none" w:sz="0" w:space="0" w:color="auto"/>
        <w:right w:val="none" w:sz="0" w:space="0" w:color="auto"/>
      </w:divBdr>
    </w:div>
    <w:div w:id="1905868972">
      <w:bodyDiv w:val="1"/>
      <w:marLeft w:val="0"/>
      <w:marRight w:val="0"/>
      <w:marTop w:val="0"/>
      <w:marBottom w:val="0"/>
      <w:divBdr>
        <w:top w:val="none" w:sz="0" w:space="0" w:color="auto"/>
        <w:left w:val="none" w:sz="0" w:space="0" w:color="auto"/>
        <w:bottom w:val="none" w:sz="0" w:space="0" w:color="auto"/>
        <w:right w:val="none" w:sz="0" w:space="0" w:color="auto"/>
      </w:divBdr>
    </w:div>
    <w:div w:id="1917394408">
      <w:bodyDiv w:val="1"/>
      <w:marLeft w:val="0"/>
      <w:marRight w:val="0"/>
      <w:marTop w:val="0"/>
      <w:marBottom w:val="0"/>
      <w:divBdr>
        <w:top w:val="none" w:sz="0" w:space="0" w:color="auto"/>
        <w:left w:val="none" w:sz="0" w:space="0" w:color="auto"/>
        <w:bottom w:val="none" w:sz="0" w:space="0" w:color="auto"/>
        <w:right w:val="none" w:sz="0" w:space="0" w:color="auto"/>
      </w:divBdr>
    </w:div>
    <w:div w:id="1917662482">
      <w:bodyDiv w:val="1"/>
      <w:marLeft w:val="0"/>
      <w:marRight w:val="0"/>
      <w:marTop w:val="0"/>
      <w:marBottom w:val="0"/>
      <w:divBdr>
        <w:top w:val="none" w:sz="0" w:space="0" w:color="auto"/>
        <w:left w:val="none" w:sz="0" w:space="0" w:color="auto"/>
        <w:bottom w:val="none" w:sz="0" w:space="0" w:color="auto"/>
        <w:right w:val="none" w:sz="0" w:space="0" w:color="auto"/>
      </w:divBdr>
    </w:div>
    <w:div w:id="1985043620">
      <w:bodyDiv w:val="1"/>
      <w:marLeft w:val="0"/>
      <w:marRight w:val="0"/>
      <w:marTop w:val="0"/>
      <w:marBottom w:val="0"/>
      <w:divBdr>
        <w:top w:val="none" w:sz="0" w:space="0" w:color="auto"/>
        <w:left w:val="none" w:sz="0" w:space="0" w:color="auto"/>
        <w:bottom w:val="none" w:sz="0" w:space="0" w:color="auto"/>
        <w:right w:val="none" w:sz="0" w:space="0" w:color="auto"/>
      </w:divBdr>
    </w:div>
    <w:div w:id="21069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wphil.net/statutes/repacts/ra1988/ra_6657_1988.html" TargetMode="External"/><Relationship Id="rId18" Type="http://schemas.openxmlformats.org/officeDocument/2006/relationships/header" Target="header2.xml"/><Relationship Id="rId26" Type="http://schemas.openxmlformats.org/officeDocument/2006/relationships/hyperlink" Target="http://www.lawphil.net/executive/execord/eo1987/eo_209_1987.html" TargetMode="External"/><Relationship Id="rId39" Type="http://schemas.openxmlformats.org/officeDocument/2006/relationships/hyperlink" Target="http://www.lawphil.net/statutes/presdecs/pd1978/pd_1529_1978.html" TargetMode="External"/><Relationship Id="rId21" Type="http://schemas.openxmlformats.org/officeDocument/2006/relationships/hyperlink" Target="http://www.chanrobles.com/acts/actsno2259.html" TargetMode="External"/><Relationship Id="rId34" Type="http://schemas.openxmlformats.org/officeDocument/2006/relationships/hyperlink" Target="http://www.lawphil.net/statutes/repacts/ra1997/ra_8371_1997.html" TargetMode="External"/><Relationship Id="rId42" Type="http://schemas.openxmlformats.org/officeDocument/2006/relationships/hyperlink" Target="http://www.lawphil.net/statutes/repacts/ra1988/ra_6657_1988.html" TargetMode="External"/><Relationship Id="rId47" Type="http://schemas.openxmlformats.org/officeDocument/2006/relationships/hyperlink" Target="http://www.lawphil.net/statutes/repacts/ra1991/ra_7160_1991.html" TargetMode="External"/><Relationship Id="rId50" Type="http://schemas.openxmlformats.org/officeDocument/2006/relationships/hyperlink" Target="http://www.lawphil.net/statutes/repacts/ra1998/ra_8550_1998.html" TargetMode="External"/><Relationship Id="rId55" Type="http://schemas.openxmlformats.org/officeDocument/2006/relationships/hyperlink" Target="http://www.lawphil.net/statutes/repacts/ra1966/ra_4726_1966.html" TargetMode="External"/><Relationship Id="rId63" Type="http://schemas.openxmlformats.org/officeDocument/2006/relationships/hyperlink" Target="http://www.lawphil.net/statutes/repacts/ra2010/ra_10023_2010.html" TargetMode="External"/><Relationship Id="rId68"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ha.gov.ph/about_us/2015-pdf/RA7279.pdf" TargetMode="External"/><Relationship Id="rId29" Type="http://schemas.openxmlformats.org/officeDocument/2006/relationships/hyperlink" Target="http://www.lawphil.net/statutes/repacts/ra2010/ra_10023_201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anrobles.com/commonwealthacts/commonwealthactno141.html" TargetMode="External"/><Relationship Id="rId24" Type="http://schemas.openxmlformats.org/officeDocument/2006/relationships/hyperlink" Target="http://www.lawphil.net/statutes/repacts/ra2007/ra_9397_2007.html" TargetMode="External"/><Relationship Id="rId32" Type="http://schemas.openxmlformats.org/officeDocument/2006/relationships/hyperlink" Target="http://www.lawphil.net/statutes/repacts/ra1988/ra_6657_1988.html" TargetMode="External"/><Relationship Id="rId37" Type="http://schemas.openxmlformats.org/officeDocument/2006/relationships/hyperlink" Target="http://www.lawphil.net/statutes/presdecs/pd1975/pd_705_1975.html" TargetMode="External"/><Relationship Id="rId40" Type="http://schemas.openxmlformats.org/officeDocument/2006/relationships/image" Target="media/image4.png"/><Relationship Id="rId45" Type="http://schemas.openxmlformats.org/officeDocument/2006/relationships/hyperlink" Target="http://www.lawphil.net/statutes/repacts/ra2013/ra_10587_2013.html" TargetMode="External"/><Relationship Id="rId53" Type="http://schemas.openxmlformats.org/officeDocument/2006/relationships/hyperlink" Target="http://www.lawphil.net/statutes/repacts/ra2010/ra_10023_2010.html" TargetMode="External"/><Relationship Id="rId58" Type="http://schemas.openxmlformats.org/officeDocument/2006/relationships/hyperlink" Target="http://www.lawphil.net/statutes/repacts/ra1988/ra_6657_1988.html"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awphil.net/statutes/repacts/ra1997/ra_8371_1997.html" TargetMode="External"/><Relationship Id="rId23" Type="http://schemas.openxmlformats.org/officeDocument/2006/relationships/hyperlink" Target="http://www.officialgazette.gov.ph/constitutions/1987-constitution/" TargetMode="External"/><Relationship Id="rId28" Type="http://schemas.openxmlformats.org/officeDocument/2006/relationships/hyperlink" Target="http://www.lawphil.net/statutes/acts/act_2874_1919.html" TargetMode="External"/><Relationship Id="rId36" Type="http://schemas.openxmlformats.org/officeDocument/2006/relationships/hyperlink" Target="http://www.lawphil.net/statutes/repacts/ra1995/ra_7942_1995.html" TargetMode="External"/><Relationship Id="rId49" Type="http://schemas.openxmlformats.org/officeDocument/2006/relationships/hyperlink" Target="http://www.lawphil.net/statutes/repacts/ra2010/ra_10121_2010.html" TargetMode="External"/><Relationship Id="rId57" Type="http://schemas.openxmlformats.org/officeDocument/2006/relationships/hyperlink" Target="http://www.chanrobles.com/acts/actsno2259.html" TargetMode="External"/><Relationship Id="rId61" Type="http://schemas.openxmlformats.org/officeDocument/2006/relationships/hyperlink" Target="http://www.lawphil.net/statutes/repacts/ra1991/ra_7160_1991.html" TargetMode="External"/><Relationship Id="rId10" Type="http://schemas.openxmlformats.org/officeDocument/2006/relationships/hyperlink" Target="http://www.officialgazette.gov.ph/constitutions/1987-constitution/" TargetMode="External"/><Relationship Id="rId19" Type="http://schemas.openxmlformats.org/officeDocument/2006/relationships/image" Target="media/image3.png"/><Relationship Id="rId31" Type="http://schemas.openxmlformats.org/officeDocument/2006/relationships/hyperlink" Target="http://www.nha.gov.ph/about_us/2015-pdf/RA7279.pdf" TargetMode="External"/><Relationship Id="rId44" Type="http://schemas.openxmlformats.org/officeDocument/2006/relationships/hyperlink" Target="http://www.lawphil.net/statutes/repacts/ra2007/ra_9397_2007.html" TargetMode="External"/><Relationship Id="rId52" Type="http://schemas.openxmlformats.org/officeDocument/2006/relationships/hyperlink" Target="http://www.lawphil.net/statutes/acts/act_2874_1919.html" TargetMode="External"/><Relationship Id="rId60" Type="http://schemas.openxmlformats.org/officeDocument/2006/relationships/hyperlink" Target="http://www.lawphil.net/statutes/repacts/ra1998/ra_8550_1998.html" TargetMode="External"/><Relationship Id="rId65"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lemarshall@redcross.org.au" TargetMode="External"/><Relationship Id="rId14" Type="http://schemas.openxmlformats.org/officeDocument/2006/relationships/hyperlink" Target="http://www.lawphil.net/statutes/repacts/ra2009/ra_9700_2009.html" TargetMode="External"/><Relationship Id="rId22" Type="http://schemas.openxmlformats.org/officeDocument/2006/relationships/hyperlink" Target="http://www.lawphil.net/statutes/repacts/ra1949/ra_386_1949.html" TargetMode="External"/><Relationship Id="rId27" Type="http://schemas.openxmlformats.org/officeDocument/2006/relationships/hyperlink" Target="http://www.lawphil.net/statutes/repacts/ra1991/ra_7160_1991.html" TargetMode="External"/><Relationship Id="rId30" Type="http://schemas.openxmlformats.org/officeDocument/2006/relationships/hyperlink" Target="http://www.lawphil.net/statutes/repacts/ra1966/ra_4726_1966.html" TargetMode="External"/><Relationship Id="rId35" Type="http://schemas.openxmlformats.org/officeDocument/2006/relationships/hyperlink" Target="http://www.lawphil.net/statutes/repacts/ra1998/ra_8550_1998.html" TargetMode="External"/><Relationship Id="rId43" Type="http://schemas.openxmlformats.org/officeDocument/2006/relationships/hyperlink" Target="http://www.lawphil.net/statutes/repacts/ra2009/ra_9700_2009.html" TargetMode="External"/><Relationship Id="rId48" Type="http://schemas.openxmlformats.org/officeDocument/2006/relationships/hyperlink" Target="http://www.lawphil.net/statutes/repacts/ra1995/ra_7942_1995.html" TargetMode="External"/><Relationship Id="rId56" Type="http://schemas.openxmlformats.org/officeDocument/2006/relationships/hyperlink" Target="http://www.nha.gov.ph/about_us/2015-pdf/RA7279.pdf" TargetMode="External"/><Relationship Id="rId64" Type="http://schemas.openxmlformats.org/officeDocument/2006/relationships/hyperlink" Target="http://www.nha.gov.ph/about_us/2015-pdf/RA7279.pdf"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lawphil.net/statutes/presdecs/pd1978/pd_1529_1978.html" TargetMode="External"/><Relationship Id="rId3" Type="http://schemas.openxmlformats.org/officeDocument/2006/relationships/styles" Target="styles.xml"/><Relationship Id="rId12" Type="http://schemas.openxmlformats.org/officeDocument/2006/relationships/hyperlink" Target="http://www.lawphil.net/statutes/repacts/ra1949/ra_386_1949.html" TargetMode="External"/><Relationship Id="rId17" Type="http://schemas.openxmlformats.org/officeDocument/2006/relationships/header" Target="header1.xml"/><Relationship Id="rId25" Type="http://schemas.openxmlformats.org/officeDocument/2006/relationships/hyperlink" Target="http://www.lawphil.net/statutes/repacts/ra2013/ra_10587_2013.html" TargetMode="External"/><Relationship Id="rId33" Type="http://schemas.openxmlformats.org/officeDocument/2006/relationships/hyperlink" Target="http://www.lawphil.net/statutes/repacts/ra2009/ra_9700_2009.html" TargetMode="External"/><Relationship Id="rId38" Type="http://schemas.openxmlformats.org/officeDocument/2006/relationships/hyperlink" Target="http://www.lawphil.net/statutes/repacts/ra2010/ra_10121_2010.html" TargetMode="External"/><Relationship Id="rId46" Type="http://schemas.openxmlformats.org/officeDocument/2006/relationships/hyperlink" Target="http://www.lawphil.net/executive/execord/eo1987/eo_209_1987.html" TargetMode="External"/><Relationship Id="rId59" Type="http://schemas.openxmlformats.org/officeDocument/2006/relationships/hyperlink" Target="http://www.lawphil.net/statutes/repacts/ra2009/ra_9700_2009.html" TargetMode="External"/><Relationship Id="rId67" Type="http://schemas.openxmlformats.org/officeDocument/2006/relationships/header" Target="header4.xml"/><Relationship Id="rId20" Type="http://schemas.openxmlformats.org/officeDocument/2006/relationships/hyperlink" Target="http://www.chanrobles.com/commonwealthacts/commonwealthactno141.html" TargetMode="External"/><Relationship Id="rId41" Type="http://schemas.openxmlformats.org/officeDocument/2006/relationships/hyperlink" Target="http://www.chanrobles.com/acts/actsno2259.html" TargetMode="External"/><Relationship Id="rId54" Type="http://schemas.openxmlformats.org/officeDocument/2006/relationships/hyperlink" Target="http://www.lawphil.net/statutes/presdecs/pd1975/pd_705_1975.html" TargetMode="External"/><Relationship Id="rId62" Type="http://schemas.openxmlformats.org/officeDocument/2006/relationships/hyperlink" Target="http://www.lawphil.net/statutes/presdecs/pd1978/pd_1529_1978.html"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and-links.org/issue-brief/tenure-and-indigenous-peoples/" TargetMode="External"/><Relationship Id="rId1" Type="http://schemas.openxmlformats.org/officeDocument/2006/relationships/hyperlink" Target="http://recoftc2.dev.dotography.net/sites/default/files/old/uploads/wysiwyg/docs/Vietnam_Briefs_Eng_PDF/RECOFTC_21July10_B5_web.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7F4CC-93F9-4D97-B0AE-D3D8F29D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19163</Words>
  <Characters>105402</Characters>
  <Application>Microsoft Office Word</Application>
  <DocSecurity>0</DocSecurity>
  <Lines>878</Lines>
  <Paragraphs>248</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124317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7</cp:revision>
  <dcterms:created xsi:type="dcterms:W3CDTF">2018-05-23T06:40:00Z</dcterms:created>
  <dcterms:modified xsi:type="dcterms:W3CDTF">2018-05-24T08:14:00Z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rrmm A0142576838v1 120641715 </vt:lpwstr>
  </property>
  <property fmtid="{D5CDD505-2E9C-101B-9397-08002B2CF9AE}" pid="3" name="DOCSDocNumber">
    <vt:lpwstr>42576838</vt:lpwstr>
  </property>
  <property fmtid="{D5CDD505-2E9C-101B-9397-08002B2CF9AE}" pid="4" name="DOCSDocumentID">
    <vt:lpwstr>A0142576838</vt:lpwstr>
  </property>
</Properties>
</file>