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4B" w:rsidRDefault="00843FBC" w:rsidP="00311DD2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val="en-US"/>
        </w:rPr>
        <w:drawing>
          <wp:inline distT="0" distB="0" distL="0" distR="0">
            <wp:extent cx="5770880" cy="862330"/>
            <wp:effectExtent l="19050" t="0" r="1270" b="0"/>
            <wp:docPr id="1" name="Picture 2" descr="bandero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ol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D2" w:rsidRDefault="00311DD2" w:rsidP="00311DD2">
      <w:pPr>
        <w:jc w:val="center"/>
        <w:rPr>
          <w:b/>
        </w:rPr>
      </w:pPr>
      <w:r w:rsidRPr="00311DD2">
        <w:rPr>
          <w:b/>
        </w:rPr>
        <w:t>POINT DE SITUATION</w:t>
      </w:r>
      <w:r w:rsidR="005A535A">
        <w:rPr>
          <w:b/>
        </w:rPr>
        <w:t xml:space="preserve"> N°</w:t>
      </w:r>
      <w:r w:rsidR="00807F47">
        <w:rPr>
          <w:b/>
        </w:rPr>
        <w:t>7</w:t>
      </w:r>
    </w:p>
    <w:p w:rsidR="00311DD2" w:rsidRDefault="00311DD2" w:rsidP="00311DD2">
      <w:pPr>
        <w:jc w:val="center"/>
        <w:rPr>
          <w:b/>
        </w:rPr>
      </w:pPr>
      <w:r>
        <w:rPr>
          <w:b/>
        </w:rPr>
        <w:t>----------------------------------------------------------</w:t>
      </w:r>
    </w:p>
    <w:p w:rsidR="00311DD2" w:rsidRPr="00283607" w:rsidRDefault="0035362D" w:rsidP="0005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ind w:left="-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POINTS SAILLANTS</w:t>
      </w:r>
    </w:p>
    <w:p w:rsidR="00130C62" w:rsidRDefault="00130C62" w:rsidP="00311D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704" w:rsidRDefault="00464704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0503DD" w:rsidRPr="00843FBC" w:rsidRDefault="005A535A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La </w:t>
      </w:r>
      <w:r w:rsidR="00A82940">
        <w:rPr>
          <w:rFonts w:ascii="Arial Narrow" w:hAnsi="Arial Narrow"/>
          <w:sz w:val="18"/>
          <w:szCs w:val="18"/>
          <w:lang w:val="fr-FR"/>
        </w:rPr>
        <w:t>remontée</w:t>
      </w:r>
      <w:r>
        <w:rPr>
          <w:rFonts w:ascii="Arial Narrow" w:hAnsi="Arial Narrow"/>
          <w:sz w:val="18"/>
          <w:szCs w:val="18"/>
          <w:lang w:val="fr-FR"/>
        </w:rPr>
        <w:t xml:space="preserve"> des informations provenant des districts sur le passage d’Ex-</w:t>
      </w:r>
      <w:r w:rsidR="00130C62" w:rsidRPr="001A773E">
        <w:rPr>
          <w:rFonts w:ascii="Arial Narrow" w:hAnsi="Arial Narrow"/>
          <w:sz w:val="18"/>
          <w:szCs w:val="18"/>
          <w:lang w:val="fr-FR"/>
        </w:rPr>
        <w:t xml:space="preserve">ENAWO </w:t>
      </w:r>
      <w:r>
        <w:rPr>
          <w:rFonts w:ascii="Arial Narrow" w:hAnsi="Arial Narrow"/>
          <w:sz w:val="18"/>
          <w:szCs w:val="18"/>
          <w:lang w:val="fr-FR"/>
        </w:rPr>
        <w:t>continue toujours au niveau du BNGRC.</w:t>
      </w:r>
      <w:r w:rsidR="00147BA3">
        <w:rPr>
          <w:rFonts w:ascii="Arial Narrow" w:hAnsi="Arial Narrow"/>
          <w:sz w:val="18"/>
          <w:szCs w:val="18"/>
          <w:lang w:val="fr-FR"/>
        </w:rPr>
        <w:t xml:space="preserve"> Pour cette journée du 1</w:t>
      </w:r>
      <w:r w:rsidR="00807F47">
        <w:rPr>
          <w:rFonts w:ascii="Arial Narrow" w:hAnsi="Arial Narrow"/>
          <w:sz w:val="18"/>
          <w:szCs w:val="18"/>
          <w:lang w:val="fr-FR"/>
        </w:rPr>
        <w:t>6</w:t>
      </w:r>
      <w:r w:rsidR="00147BA3">
        <w:rPr>
          <w:rFonts w:ascii="Arial Narrow" w:hAnsi="Arial Narrow"/>
          <w:sz w:val="18"/>
          <w:szCs w:val="18"/>
          <w:lang w:val="fr-FR"/>
        </w:rPr>
        <w:t xml:space="preserve"> mars 2017 à 18h00,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le bilan qui fait état de :</w:t>
      </w:r>
    </w:p>
    <w:p w:rsidR="00BC4E85" w:rsidRPr="00843FBC" w:rsidRDefault="00807F47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1</w:t>
      </w:r>
      <w:r w:rsidR="001C2B7C">
        <w:rPr>
          <w:rFonts w:ascii="Arial Narrow" w:hAnsi="Arial Narrow"/>
          <w:sz w:val="18"/>
          <w:szCs w:val="18"/>
          <w:lang w:val="fr-FR"/>
        </w:rPr>
        <w:t>8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personnes portées disparues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807F47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81 </w:t>
      </w:r>
      <w:r w:rsidR="00BC4E85" w:rsidRPr="00843FBC">
        <w:rPr>
          <w:rFonts w:ascii="Arial Narrow" w:hAnsi="Arial Narrow"/>
          <w:sz w:val="18"/>
          <w:szCs w:val="18"/>
          <w:lang w:val="fr-FR"/>
        </w:rPr>
        <w:t>morts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  <w:r w:rsidR="001C2B7C">
        <w:rPr>
          <w:rFonts w:ascii="Arial Narrow" w:hAnsi="Arial Narrow"/>
          <w:sz w:val="18"/>
          <w:szCs w:val="18"/>
          <w:lang w:val="fr-FR"/>
        </w:rPr>
        <w:t xml:space="preserve"> (certains disparus trouvés morts, et cas de nouveaux décès dûs à des effondrements de maisons à Brickaville et Vatomandry)</w:t>
      </w:r>
    </w:p>
    <w:p w:rsidR="00BC4E85" w:rsidRPr="00843FBC" w:rsidRDefault="001C2B7C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25</w:t>
      </w:r>
      <w:r w:rsidR="00FD1E68">
        <w:rPr>
          <w:rFonts w:ascii="Arial Narrow" w:hAnsi="Arial Narrow"/>
          <w:sz w:val="18"/>
          <w:szCs w:val="18"/>
          <w:lang w:val="fr-FR"/>
        </w:rPr>
        <w:t>3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blessés,</w:t>
      </w:r>
    </w:p>
    <w:p w:rsidR="00BC4E85" w:rsidRPr="00843FBC" w:rsidRDefault="00FD1E68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433 612</w:t>
      </w:r>
      <w:r w:rsidR="00BC4E85" w:rsidRPr="00843FBC">
        <w:rPr>
          <w:rFonts w:ascii="Arial Narrow" w:hAnsi="Arial Narrow"/>
          <w:sz w:val="18"/>
          <w:szCs w:val="18"/>
          <w:lang w:val="fr-FR"/>
        </w:rPr>
        <w:t xml:space="preserve"> sinistrés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2</w:t>
      </w:r>
      <w:r w:rsidR="001C2B7C">
        <w:rPr>
          <w:rFonts w:ascii="Arial Narrow" w:hAnsi="Arial Narrow"/>
          <w:sz w:val="18"/>
          <w:szCs w:val="18"/>
          <w:lang w:val="fr-FR"/>
        </w:rPr>
        <w:t xml:space="preserve">46 </w:t>
      </w:r>
      <w:r w:rsidR="003E322D">
        <w:rPr>
          <w:rFonts w:ascii="Arial Narrow" w:hAnsi="Arial Narrow"/>
          <w:sz w:val="18"/>
          <w:szCs w:val="18"/>
          <w:lang w:val="fr-FR"/>
        </w:rPr>
        <w:t>842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personnes déplacées (nombre de personnes ayant dues se déplacer pendant le passage d’ENAWO)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581F78" w:rsidRDefault="00E7527B" w:rsidP="00581F78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5194 </w:t>
      </w:r>
      <w:r w:rsidR="00BC4E85" w:rsidRPr="00843FBC">
        <w:rPr>
          <w:rFonts w:ascii="Arial Narrow" w:hAnsi="Arial Narrow"/>
          <w:sz w:val="18"/>
          <w:szCs w:val="18"/>
          <w:lang w:val="fr-FR"/>
        </w:rPr>
        <w:t>sans abris et/ou personnes déplacées dans des sites communs pour la date d’aujourd’hui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011074" w:rsidRDefault="00011074" w:rsidP="00011074">
      <w:pPr>
        <w:pStyle w:val="PlainText"/>
        <w:jc w:val="both"/>
        <w:rPr>
          <w:rFonts w:ascii="Arial Narrow" w:hAnsi="Arial Narrow"/>
          <w:sz w:val="18"/>
          <w:szCs w:val="18"/>
          <w:lang w:val="fr-FR"/>
        </w:rPr>
      </w:pPr>
    </w:p>
    <w:p w:rsidR="00E7527B" w:rsidRDefault="00E7527B" w:rsidP="00E7527B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Pour ces sans abris, il s’agit des personnes déplacées à Analamanga,</w:t>
      </w:r>
      <w:r w:rsidR="0079561C">
        <w:rPr>
          <w:rFonts w:ascii="Arial Narrow" w:hAnsi="Arial Narrow"/>
          <w:sz w:val="18"/>
          <w:szCs w:val="18"/>
          <w:lang w:val="fr-FR"/>
        </w:rPr>
        <w:t xml:space="preserve"> et de la SAVA</w:t>
      </w:r>
      <w:r>
        <w:rPr>
          <w:rFonts w:ascii="Arial Narrow" w:hAnsi="Arial Narrow"/>
          <w:sz w:val="18"/>
          <w:szCs w:val="18"/>
          <w:lang w:val="fr-FR"/>
        </w:rPr>
        <w:t xml:space="preserve"> mais également dans le District de vavatenina, Commune Rurale de Sahatavy</w:t>
      </w:r>
      <w:r w:rsidR="00011074">
        <w:rPr>
          <w:rFonts w:ascii="Arial Narrow" w:hAnsi="Arial Narrow"/>
          <w:sz w:val="18"/>
          <w:szCs w:val="18"/>
          <w:lang w:val="fr-FR"/>
        </w:rPr>
        <w:t xml:space="preserve">, la raison évoquée concerne l’eau qui est restée à un niveau menaçante. La raison </w:t>
      </w:r>
      <w:r w:rsidR="0079561C">
        <w:rPr>
          <w:rFonts w:ascii="Arial Narrow" w:hAnsi="Arial Narrow"/>
          <w:sz w:val="18"/>
          <w:szCs w:val="18"/>
          <w:lang w:val="fr-FR"/>
        </w:rPr>
        <w:t xml:space="preserve">en </w:t>
      </w:r>
      <w:r w:rsidR="00011074">
        <w:rPr>
          <w:rFonts w:ascii="Arial Narrow" w:hAnsi="Arial Narrow"/>
          <w:sz w:val="18"/>
          <w:szCs w:val="18"/>
          <w:lang w:val="fr-FR"/>
        </w:rPr>
        <w:t>est la même pour les 10 personnes de Farafangana, Fokontany de Fenoarivo Avaratra.</w:t>
      </w:r>
    </w:p>
    <w:p w:rsidR="00011074" w:rsidRDefault="00011074" w:rsidP="00E7527B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Pr="00011074" w:rsidRDefault="00011074" w:rsidP="00011074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Le BNGRC, avec l’appui de l’UNDAC progresse dans la compilation des activités des acteurs et l’amélioration des stratégies de collecte de données sur les activités</w:t>
      </w:r>
      <w:r w:rsidR="00BE4991">
        <w:rPr>
          <w:rFonts w:ascii="Arial Narrow" w:hAnsi="Arial Narrow"/>
          <w:sz w:val="18"/>
          <w:szCs w:val="18"/>
          <w:lang w:val="fr-FR"/>
        </w:rPr>
        <w:t>. E</w:t>
      </w:r>
      <w:r>
        <w:rPr>
          <w:rFonts w:ascii="Arial Narrow" w:hAnsi="Arial Narrow"/>
          <w:sz w:val="18"/>
          <w:szCs w:val="18"/>
          <w:lang w:val="fr-FR"/>
        </w:rPr>
        <w:t xml:space="preserve">tant donné la stagnation des chiffres du bilan, une orientation vers l’évaluation financière et économique des dégâts est  en cours d’étude. </w:t>
      </w:r>
    </w:p>
    <w:p w:rsidR="00581F78" w:rsidRDefault="00581F78" w:rsidP="00581F78">
      <w:pPr>
        <w:pStyle w:val="PlainText"/>
        <w:ind w:left="436"/>
        <w:jc w:val="both"/>
        <w:rPr>
          <w:rFonts w:ascii="Arial Narrow" w:hAnsi="Arial Narrow"/>
          <w:sz w:val="18"/>
          <w:szCs w:val="18"/>
          <w:lang w:val="fr-FR"/>
        </w:rPr>
      </w:pPr>
    </w:p>
    <w:p w:rsidR="009D1CEC" w:rsidRDefault="007C56BA" w:rsidP="00011074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Mis à part, la donation faite par les </w:t>
      </w:r>
      <w:r w:rsidRPr="007C56BA">
        <w:rPr>
          <w:rFonts w:ascii="Arial Narrow" w:hAnsi="Arial Narrow"/>
          <w:sz w:val="18"/>
          <w:szCs w:val="18"/>
          <w:lang w:val="fr-FR"/>
        </w:rPr>
        <w:t xml:space="preserve">SYSTEMES DES NATIONS UNIES </w:t>
      </w:r>
      <w:r w:rsidR="000249B0" w:rsidRPr="007C56BA">
        <w:rPr>
          <w:rFonts w:ascii="Arial Narrow" w:hAnsi="Arial Narrow"/>
          <w:sz w:val="18"/>
          <w:szCs w:val="18"/>
          <w:lang w:val="fr-FR"/>
        </w:rPr>
        <w:t>dans</w:t>
      </w:r>
      <w:r w:rsidRPr="007C56BA">
        <w:rPr>
          <w:rFonts w:ascii="Arial Narrow" w:hAnsi="Arial Narrow"/>
          <w:sz w:val="18"/>
          <w:szCs w:val="18"/>
          <w:lang w:val="fr-FR"/>
        </w:rPr>
        <w:t xml:space="preserve"> le cadre de la reponse humanitaire au cyclone </w:t>
      </w:r>
      <w:r>
        <w:rPr>
          <w:rFonts w:ascii="Arial Narrow" w:hAnsi="Arial Narrow"/>
          <w:sz w:val="18"/>
          <w:szCs w:val="18"/>
          <w:lang w:val="fr-FR"/>
        </w:rPr>
        <w:t>ENAWO évaluée à  8,3  millions d’USD</w:t>
      </w:r>
      <w:r w:rsidR="000249B0">
        <w:rPr>
          <w:rFonts w:ascii="Arial Narrow" w:hAnsi="Arial Narrow"/>
          <w:sz w:val="18"/>
          <w:szCs w:val="18"/>
          <w:lang w:val="fr-FR"/>
        </w:rPr>
        <w:t xml:space="preserve"> au niveau de la Primature</w:t>
      </w:r>
      <w:r>
        <w:rPr>
          <w:rFonts w:ascii="Arial Narrow" w:hAnsi="Arial Narrow"/>
          <w:sz w:val="18"/>
          <w:szCs w:val="18"/>
          <w:lang w:val="fr-FR"/>
        </w:rPr>
        <w:t xml:space="preserve">, </w:t>
      </w:r>
      <w:r w:rsidR="00581F78">
        <w:rPr>
          <w:rFonts w:ascii="Arial Narrow" w:hAnsi="Arial Narrow"/>
          <w:sz w:val="18"/>
          <w:szCs w:val="18"/>
          <w:lang w:val="fr-FR"/>
        </w:rPr>
        <w:t xml:space="preserve">le BNGRC a pu recevoir de </w:t>
      </w:r>
      <w:r>
        <w:rPr>
          <w:rFonts w:ascii="Arial Narrow" w:hAnsi="Arial Narrow"/>
          <w:sz w:val="18"/>
          <w:szCs w:val="18"/>
          <w:lang w:val="fr-FR"/>
        </w:rPr>
        <w:t>quelques</w:t>
      </w:r>
      <w:r w:rsidR="00581F78">
        <w:rPr>
          <w:rFonts w:ascii="Arial Narrow" w:hAnsi="Arial Narrow"/>
          <w:sz w:val="18"/>
          <w:szCs w:val="18"/>
          <w:lang w:val="fr-FR"/>
        </w:rPr>
        <w:t xml:space="preserve"> donateurs</w:t>
      </w:r>
      <w:r>
        <w:rPr>
          <w:rFonts w:ascii="Arial Narrow" w:hAnsi="Arial Narrow"/>
          <w:sz w:val="18"/>
          <w:szCs w:val="18"/>
          <w:lang w:val="fr-FR"/>
        </w:rPr>
        <w:t xml:space="preserve"> (Ambassade, Société et Entreprise, Personnalités étatique et/ou  politique….)</w:t>
      </w:r>
      <w:r w:rsidR="000249B0">
        <w:rPr>
          <w:rFonts w:ascii="Arial Narrow" w:hAnsi="Arial Narrow"/>
          <w:sz w:val="18"/>
          <w:szCs w:val="18"/>
          <w:lang w:val="fr-FR"/>
        </w:rPr>
        <w:t xml:space="preserve"> les dons suivants</w:t>
      </w:r>
      <w:r w:rsidR="009D1CEC">
        <w:rPr>
          <w:rFonts w:ascii="Arial Narrow" w:hAnsi="Arial Narrow"/>
          <w:sz w:val="18"/>
          <w:szCs w:val="18"/>
          <w:lang w:val="fr-FR"/>
        </w:rPr>
        <w:t> :</w:t>
      </w:r>
    </w:p>
    <w:p w:rsidR="009D1CEC" w:rsidRDefault="007C56BA" w:rsidP="009D1CEC">
      <w:pPr>
        <w:pStyle w:val="PlainText"/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Des vivres évalués à plus de 200 000 000 d’Ariary</w:t>
      </w:r>
    </w:p>
    <w:p w:rsidR="00B910CA" w:rsidRDefault="007C56BA" w:rsidP="009D1CEC">
      <w:pPr>
        <w:pStyle w:val="PlainText"/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D</w:t>
      </w:r>
      <w:r w:rsidR="00581F78">
        <w:rPr>
          <w:rFonts w:ascii="Arial Narrow" w:hAnsi="Arial Narrow"/>
          <w:sz w:val="18"/>
          <w:szCs w:val="18"/>
          <w:lang w:val="fr-FR"/>
        </w:rPr>
        <w:t xml:space="preserve">es dons en numéraire s’élevant à </w:t>
      </w:r>
      <w:r>
        <w:rPr>
          <w:rFonts w:ascii="Arial Narrow" w:hAnsi="Arial Narrow"/>
          <w:sz w:val="18"/>
          <w:szCs w:val="18"/>
          <w:lang w:val="fr-FR"/>
        </w:rPr>
        <w:t>66 407 200</w:t>
      </w:r>
      <w:r w:rsidR="00581F78">
        <w:rPr>
          <w:rFonts w:ascii="Arial Narrow" w:hAnsi="Arial Narrow"/>
          <w:sz w:val="18"/>
          <w:szCs w:val="18"/>
          <w:lang w:val="fr-FR"/>
        </w:rPr>
        <w:t xml:space="preserve"> d’Ariary </w:t>
      </w:r>
    </w:p>
    <w:p w:rsidR="009D1CEC" w:rsidRDefault="007C56BA" w:rsidP="009D1CEC">
      <w:pPr>
        <w:pStyle w:val="PlainText"/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>D</w:t>
      </w:r>
      <w:r w:rsidR="009D1CEC">
        <w:rPr>
          <w:rFonts w:ascii="Arial Narrow" w:hAnsi="Arial Narrow"/>
          <w:sz w:val="18"/>
          <w:szCs w:val="18"/>
          <w:lang w:val="fr-FR"/>
        </w:rPr>
        <w:t>e nombreux articles</w:t>
      </w:r>
      <w:r>
        <w:rPr>
          <w:rFonts w:ascii="Arial Narrow" w:hAnsi="Arial Narrow"/>
          <w:sz w:val="18"/>
          <w:szCs w:val="18"/>
          <w:lang w:val="fr-FR"/>
        </w:rPr>
        <w:t xml:space="preserve"> de PPN</w:t>
      </w:r>
      <w:r w:rsidR="009D1CEC">
        <w:rPr>
          <w:rFonts w:ascii="Arial Narrow" w:hAnsi="Arial Narrow"/>
          <w:sz w:val="18"/>
          <w:szCs w:val="18"/>
          <w:lang w:val="fr-FR"/>
        </w:rPr>
        <w:t> : bougie, pile, savon, sur’eau…</w:t>
      </w:r>
    </w:p>
    <w:p w:rsidR="007C56BA" w:rsidRDefault="007C56BA" w:rsidP="007C56BA">
      <w:pPr>
        <w:pStyle w:val="PlainText"/>
        <w:jc w:val="both"/>
        <w:rPr>
          <w:rFonts w:ascii="Arial Narrow" w:hAnsi="Arial Narrow"/>
          <w:sz w:val="18"/>
          <w:szCs w:val="18"/>
          <w:lang w:val="fr-FR"/>
        </w:rPr>
      </w:pPr>
    </w:p>
    <w:p w:rsidR="009D1CEC" w:rsidRDefault="009D1CEC" w:rsidP="007C56B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Pr="00581F78" w:rsidRDefault="00581F78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581F78" w:rsidRDefault="00581F78" w:rsidP="00B910CA">
      <w:pPr>
        <w:pStyle w:val="PlainTex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:rsidR="009D1CEC" w:rsidRDefault="009D1CE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933F43" w:rsidRPr="00283607" w:rsidRDefault="00933F43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83607">
        <w:rPr>
          <w:rFonts w:ascii="Arial" w:hAnsi="Arial" w:cs="Arial"/>
          <w:b/>
          <w:sz w:val="20"/>
          <w:szCs w:val="20"/>
          <w:u w:val="single"/>
        </w:rPr>
        <w:lastRenderedPageBreak/>
        <w:t>BILAN</w:t>
      </w:r>
    </w:p>
    <w:p w:rsidR="00072F8D" w:rsidRDefault="00072F8D" w:rsidP="00072F8D">
      <w:pPr>
        <w:rPr>
          <w:rFonts w:ascii="Arial" w:hAnsi="Arial" w:cs="Arial"/>
          <w:b/>
          <w:sz w:val="20"/>
          <w:szCs w:val="20"/>
          <w:u w:val="single"/>
        </w:rPr>
      </w:pPr>
    </w:p>
    <w:p w:rsidR="00E7527B" w:rsidRPr="00072F8D" w:rsidRDefault="007C56BA" w:rsidP="00072F8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DEGATS </w:t>
      </w:r>
      <w:r w:rsidR="00E7527B">
        <w:rPr>
          <w:rFonts w:ascii="Arial" w:hAnsi="Arial" w:cs="Arial"/>
          <w:b/>
          <w:sz w:val="20"/>
          <w:szCs w:val="20"/>
          <w:u w:val="single"/>
        </w:rPr>
        <w:t>HUMAIN</w:t>
      </w:r>
      <w:r>
        <w:rPr>
          <w:rFonts w:ascii="Arial" w:hAnsi="Arial" w:cs="Arial"/>
          <w:b/>
          <w:sz w:val="20"/>
          <w:szCs w:val="20"/>
          <w:u w:val="single"/>
        </w:rPr>
        <w:t>S</w:t>
      </w:r>
    </w:p>
    <w:p w:rsidR="001C2B7C" w:rsidRDefault="0079561C" w:rsidP="005C29B9">
      <w:pPr>
        <w:rPr>
          <w:rFonts w:ascii="Arial" w:hAnsi="Arial" w:cs="Arial"/>
          <w:b/>
          <w:sz w:val="20"/>
          <w:szCs w:val="20"/>
          <w:u w:val="single"/>
        </w:rPr>
      </w:pPr>
      <w:r w:rsidRPr="0079561C">
        <w:rPr>
          <w:noProof/>
          <w:szCs w:val="20"/>
          <w:lang w:val="en-US"/>
        </w:rPr>
        <w:drawing>
          <wp:inline distT="0" distB="0" distL="0" distR="0">
            <wp:extent cx="5940425" cy="2258783"/>
            <wp:effectExtent l="19050" t="0" r="3175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1C" w:rsidRDefault="007C56B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DEGATS SUR LES HABITATIONS</w:t>
      </w:r>
    </w:p>
    <w:p w:rsidR="007C56BA" w:rsidRDefault="007C56B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1C2B7C" w:rsidRDefault="0079561C" w:rsidP="007C56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561C">
        <w:rPr>
          <w:noProof/>
          <w:szCs w:val="20"/>
          <w:lang w:val="en-US"/>
        </w:rPr>
        <w:drawing>
          <wp:inline distT="0" distB="0" distL="0" distR="0">
            <wp:extent cx="4387035" cy="245267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54" cy="245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2B7C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5C29B9" w:rsidRDefault="005C29B9" w:rsidP="008A357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 xml:space="preserve">ACTIVITES REALISES </w:t>
      </w:r>
    </w:p>
    <w:p w:rsidR="008A357D" w:rsidRDefault="008A357D" w:rsidP="008A357D">
      <w:pPr>
        <w:rPr>
          <w:b/>
          <w:u w:val="single"/>
        </w:rPr>
      </w:pPr>
      <w:r w:rsidRPr="00630BDF">
        <w:rPr>
          <w:b/>
          <w:u w:val="single"/>
        </w:rPr>
        <w:t>Réponses exprimées en nombre de bénéficiaires</w:t>
      </w:r>
      <w:r w:rsidR="001C2B7C">
        <w:rPr>
          <w:b/>
          <w:u w:val="single"/>
        </w:rPr>
        <w:t xml:space="preserve"> (BNGRC)</w:t>
      </w:r>
    </w:p>
    <w:p w:rsidR="00BD4406" w:rsidRDefault="00092FC1" w:rsidP="008A357D">
      <w:pPr>
        <w:rPr>
          <w:b/>
          <w:u w:val="single"/>
        </w:rPr>
      </w:pPr>
      <w:r w:rsidRPr="00092FC1">
        <w:rPr>
          <w:noProof/>
          <w:lang w:val="en-US"/>
        </w:rPr>
        <w:drawing>
          <wp:inline distT="0" distB="0" distL="0" distR="0">
            <wp:extent cx="5940425" cy="4582385"/>
            <wp:effectExtent l="19050" t="0" r="3175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9DF" w:rsidRDefault="001139DF" w:rsidP="001139DF">
      <w:pPr>
        <w:jc w:val="center"/>
        <w:rPr>
          <w:b/>
          <w:u w:val="single"/>
        </w:rPr>
      </w:pPr>
    </w:p>
    <w:p w:rsidR="001C2B7C" w:rsidRDefault="001C2B7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139DF" w:rsidRPr="00630BDF" w:rsidRDefault="001139DF" w:rsidP="001139DF">
      <w:pPr>
        <w:jc w:val="center"/>
        <w:rPr>
          <w:b/>
          <w:u w:val="single"/>
        </w:rPr>
      </w:pPr>
    </w:p>
    <w:p w:rsidR="008A357D" w:rsidRDefault="00AB4AAC" w:rsidP="00AB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noProof/>
          <w:lang w:eastAsia="fr-FR"/>
        </w:rPr>
      </w:pPr>
      <w:r w:rsidRPr="000A0625">
        <w:rPr>
          <w:rFonts w:ascii="Arial" w:hAnsi="Arial" w:cs="Arial"/>
          <w:b/>
          <w:sz w:val="20"/>
          <w:szCs w:val="20"/>
          <w:u w:val="single"/>
        </w:rPr>
        <w:t xml:space="preserve">ETAT RECAPITULATIF DES </w:t>
      </w:r>
      <w:r>
        <w:rPr>
          <w:rFonts w:ascii="Arial" w:hAnsi="Arial" w:cs="Arial"/>
          <w:b/>
          <w:sz w:val="20"/>
          <w:szCs w:val="20"/>
          <w:u w:val="single"/>
        </w:rPr>
        <w:t>APPUIS REALISES PAR LE BNGRC</w:t>
      </w:r>
    </w:p>
    <w:p w:rsidR="000A0625" w:rsidRPr="00AB4AAC" w:rsidRDefault="000A0625" w:rsidP="008A357D">
      <w:pPr>
        <w:jc w:val="center"/>
        <w:rPr>
          <w:sz w:val="2"/>
        </w:rPr>
      </w:pPr>
    </w:p>
    <w:p w:rsidR="00AB4AAC" w:rsidRDefault="00092FC1" w:rsidP="008A357D">
      <w:pPr>
        <w:jc w:val="center"/>
      </w:pPr>
      <w:r w:rsidRPr="00092FC1">
        <w:rPr>
          <w:noProof/>
          <w:lang w:val="en-US"/>
        </w:rPr>
        <w:drawing>
          <wp:inline distT="0" distB="0" distL="0" distR="0">
            <wp:extent cx="5552381" cy="3819048"/>
            <wp:effectExtent l="19050" t="0" r="0" b="0"/>
            <wp:docPr id="1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3E" w:rsidRDefault="001A773E" w:rsidP="008A357D">
      <w:pPr>
        <w:spacing w:after="0" w:line="240" w:lineRule="auto"/>
        <w:rPr>
          <w:rFonts w:ascii="Arial Narrow" w:hAnsi="Arial Narrow"/>
          <w:b/>
          <w:bCs/>
          <w:i/>
          <w:iCs/>
          <w:sz w:val="18"/>
          <w:szCs w:val="18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>DONS RECUS</w:t>
      </w:r>
    </w:p>
    <w:p w:rsidR="008A357D" w:rsidRPr="00283607" w:rsidRDefault="008A357D" w:rsidP="008A357D">
      <w:pPr>
        <w:jc w:val="center"/>
        <w:rPr>
          <w:noProof/>
          <w:sz w:val="2"/>
          <w:lang w:eastAsia="fr-FR"/>
        </w:rPr>
      </w:pPr>
    </w:p>
    <w:tbl>
      <w:tblPr>
        <w:tblW w:w="10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4667"/>
        <w:gridCol w:w="3253"/>
        <w:gridCol w:w="844"/>
        <w:gridCol w:w="952"/>
      </w:tblGrid>
      <w:tr w:rsidR="0079561C" w:rsidRPr="0079561C" w:rsidTr="0079561C">
        <w:trPr>
          <w:trHeight w:val="170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ENTITES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ARTICLE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UNITE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 xml:space="preserve"> QTE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09/03/2017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HVM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ANDRIAMAHENINA Edouard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HABILLEMENT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10/03/2017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SONAPAR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 DE MENAGE NOSY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160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BOUGIES MASOANDRO GM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160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SEAUXPLASTIQUES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PILE SIPED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PRESIDENT SENAT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6 000 000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11/03/2017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FAMILLE ANDRIANOMENA 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HABILLEMENT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CHAUSSURE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ASSOCIATION DES MAIRES DE LA REGION ANOSY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13/03/2017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ASSOCIATION DAWOODI BOHRA JAMATS DE MADAGASCAR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BOUGIES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16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PURE B25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36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14/03/2017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BFV-SG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SUCRE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HUILE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LITRES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SUR'EAU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RAKOTOBE MBOLATIANA JOELLE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ORTM MIRAY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HABILLEMENT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HENRI FRAISE FILS ET CIE/ MADAUTO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COUVERTURE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15/03/2017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ASSOCIATION AMITIE MADAGASCAR-CHINE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CHQ BMOI N°64909626 DU 15/03/17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CONGREGATION CHINOISE D'ANTANANARIVO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CHQ BFV-SG n°26827480 du 14/03/17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AMBASSADE DE 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45.000.000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45 000 000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MINISTERE DE LA SECURITE PUBLIQUE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HABILLEMENT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47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HUILE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LITRES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168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900 000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 POUDRE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UNITES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35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MACARONI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240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BOUGIE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PAQUETS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FIVAPOVA 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GUANOMAD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400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SUCRE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HUILE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LITRES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GROUPE HENRI FRAISE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HUILE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BOUGIE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PAQUETS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FEDERATION SCOUTISME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HABILLEMENT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17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SUCRE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HUILE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307 200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 POUDRE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STYLO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6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CAHIER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PAQUETS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SUR'EAU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BISCUITS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57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SEL FIN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BOUGIE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PAQUETS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58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BOITE D'ALLUMETTE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PAQUETS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53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FFFFFF"/>
                <w:sz w:val="18"/>
                <w:lang w:eastAsia="fr-FR"/>
              </w:rPr>
              <w:t>16/03/2017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SOCOLAIT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FARILAC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8 000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FKFM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HAZOVATO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500.000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ASECNA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SOCIETE SOCITA SARL MADAGASCAR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 SEIM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GROUPE TRIMETA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10.000.000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10 000 000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DHL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18.000.000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GROUPE PROVA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14.000.000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14 000 000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ODITY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1.000.000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BUSHPROOF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615.000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615 000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IMPERIAL TOBACCO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35.000.000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35 000 000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BGFI BANK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1.000.000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GROUPE AXIAN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50.000.000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50 000 000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SAHAM ASSURANCE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5.000.000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GROUPE STAR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17.500.000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17 500 000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GROUPE SGS (SGS MADAGASCAR ET GASYNET)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MONTANT DE 2.000.000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SOFITRANS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19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SUR'EAU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57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ENEAM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8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ADEMA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SUCRE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8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LAMPE D'ECLAIRAGE SOLAIRE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25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CARBURANT D'AVIATION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Litre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AEROMARINE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MAÏS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3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HARICOT SEC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3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PAF/IVATO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RIZ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SUCRE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PATES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8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LAIT CONCENTRE SOCOLAIT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MY GROUP AVIATION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NOUILLE MATSIRO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MGH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NOUILLE MATSIRO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125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RAVINALA AIRPORTS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BOUGIES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9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SUCRE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HUILE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SUR'EAU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GOUTERS SECS BRIOCHE TLI 350G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PAQUETS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LAIT EN POUDRE SOCOLAIT 250G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120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LAIT EN POUDRE SHT MAXILAIT 250G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60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SEL FIN 500G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SACHETS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SARDINE ANNY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BOITES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NOUILLE 75G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9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SAVON DE MENAGE NOSY 80G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5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BRIQUET BIC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180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SPAGHETTI 500G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CARTONS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9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ASSIST AVIATION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TRANSPORT A-R PAR AVION DE MONTANT</w:t>
            </w:r>
          </w:p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 xml:space="preserve"> DE 14.000.000 D'ARIARY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14 000 000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COLIS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800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AIR MAD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COLIS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100</w:t>
            </w:r>
          </w:p>
        </w:tc>
      </w:tr>
      <w:tr w:rsidR="0079561C" w:rsidRPr="0079561C" w:rsidTr="0079561C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BE5F1" w:fill="DBE5F1"/>
            <w:noWrap/>
            <w:vAlign w:val="bottom"/>
            <w:hideMark/>
          </w:tcPr>
          <w:p w:rsid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 xml:space="preserve">ANDRIANJATO VONISON ( MINISTRE DE LA COMMUNICATION </w:t>
            </w:r>
          </w:p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ET DES RELATIONS AVEC LES INSTITUTIONS)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ESPECES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ARIARY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61C" w:rsidRPr="0079561C" w:rsidRDefault="0079561C" w:rsidP="007956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lang w:eastAsia="fr-FR"/>
              </w:rPr>
            </w:pPr>
            <w:r w:rsidRPr="0079561C">
              <w:rPr>
                <w:rFonts w:eastAsia="Times New Roman" w:cs="Calibri"/>
                <w:color w:val="000000"/>
                <w:sz w:val="18"/>
                <w:lang w:eastAsia="fr-FR"/>
              </w:rPr>
              <w:t>1 000 000</w:t>
            </w:r>
          </w:p>
        </w:tc>
      </w:tr>
    </w:tbl>
    <w:p w:rsidR="008C77D3" w:rsidRDefault="008C77D3" w:rsidP="008A357D">
      <w:pPr>
        <w:jc w:val="center"/>
        <w:rPr>
          <w:noProof/>
          <w:lang w:eastAsia="fr-FR"/>
        </w:rPr>
      </w:pPr>
    </w:p>
    <w:p w:rsidR="004C3480" w:rsidRDefault="0079561C" w:rsidP="0079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NON VIVRE</w:t>
      </w:r>
    </w:p>
    <w:p w:rsidR="0079561C" w:rsidRDefault="0079561C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561C">
        <w:rPr>
          <w:noProof/>
          <w:szCs w:val="20"/>
          <w:lang w:val="en-US"/>
        </w:rPr>
        <w:drawing>
          <wp:inline distT="0" distB="0" distL="0" distR="0">
            <wp:extent cx="5157498" cy="3450566"/>
            <wp:effectExtent l="19050" t="0" r="5052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412" cy="345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FC1" w:rsidRDefault="00092FC1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92FC1" w:rsidRDefault="00092FC1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92FC1" w:rsidRDefault="00092FC1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92FC1" w:rsidRDefault="00092FC1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9561C" w:rsidRDefault="0079561C" w:rsidP="0079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NUMERAIRE</w:t>
      </w:r>
    </w:p>
    <w:p w:rsidR="0079561C" w:rsidRDefault="007956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9561C" w:rsidRDefault="007956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9561C">
        <w:rPr>
          <w:noProof/>
          <w:lang w:val="en-US"/>
        </w:rPr>
        <w:drawing>
          <wp:inline distT="0" distB="0" distL="0" distR="0">
            <wp:extent cx="5940425" cy="1873198"/>
            <wp:effectExtent l="19050" t="0" r="3175" b="0"/>
            <wp:docPr id="1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61C" w:rsidRDefault="007956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9561C" w:rsidRDefault="0079561C" w:rsidP="00795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VIVRE</w:t>
      </w:r>
    </w:p>
    <w:p w:rsidR="0079561C" w:rsidRDefault="0079561C" w:rsidP="00BD4406">
      <w:pPr>
        <w:jc w:val="center"/>
        <w:rPr>
          <w:szCs w:val="20"/>
        </w:rPr>
      </w:pPr>
    </w:p>
    <w:p w:rsidR="0079561C" w:rsidRDefault="0079561C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561C">
        <w:rPr>
          <w:noProof/>
          <w:szCs w:val="20"/>
          <w:lang w:val="en-US"/>
        </w:rPr>
        <w:drawing>
          <wp:inline distT="0" distB="0" distL="0" distR="0">
            <wp:extent cx="5087788" cy="4270075"/>
            <wp:effectExtent l="19050" t="0" r="0" b="0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427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1C" w:rsidRDefault="0079561C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9561C" w:rsidRDefault="0079561C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9561C" w:rsidRDefault="007956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933F43" w:rsidRDefault="00283607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ANNEXE : </w:t>
      </w:r>
      <w:r w:rsidR="00933F43">
        <w:rPr>
          <w:rFonts w:ascii="Arial" w:hAnsi="Arial" w:cs="Arial"/>
          <w:b/>
          <w:sz w:val="20"/>
          <w:szCs w:val="20"/>
          <w:u w:val="single"/>
        </w:rPr>
        <w:t xml:space="preserve">BILAN </w:t>
      </w:r>
      <w:r w:rsidR="005C29B9">
        <w:rPr>
          <w:rFonts w:ascii="Arial" w:hAnsi="Arial" w:cs="Arial"/>
          <w:b/>
          <w:sz w:val="20"/>
          <w:szCs w:val="20"/>
          <w:u w:val="single"/>
        </w:rPr>
        <w:t xml:space="preserve">HUMAIN </w:t>
      </w:r>
      <w:r w:rsidR="00933F43">
        <w:rPr>
          <w:rFonts w:ascii="Arial" w:hAnsi="Arial" w:cs="Arial"/>
          <w:b/>
          <w:sz w:val="20"/>
          <w:szCs w:val="20"/>
          <w:u w:val="single"/>
        </w:rPr>
        <w:t>DETAILLES PAR DISTRICT</w:t>
      </w:r>
      <w:r w:rsidR="005C29B9">
        <w:rPr>
          <w:rFonts w:ascii="Arial" w:hAnsi="Arial" w:cs="Arial"/>
          <w:b/>
          <w:sz w:val="20"/>
          <w:szCs w:val="20"/>
          <w:u w:val="single"/>
        </w:rPr>
        <w:t>S</w:t>
      </w:r>
    </w:p>
    <w:p w:rsidR="006F2A69" w:rsidRDefault="006F2A69" w:rsidP="00BD4406"/>
    <w:p w:rsidR="006E73B9" w:rsidRDefault="0079561C">
      <w:pPr>
        <w:spacing w:after="0" w:line="240" w:lineRule="auto"/>
      </w:pPr>
      <w:r w:rsidRPr="0079561C">
        <w:rPr>
          <w:noProof/>
          <w:lang w:val="en-US"/>
        </w:rPr>
        <w:drawing>
          <wp:inline distT="0" distB="0" distL="0" distR="0">
            <wp:extent cx="5940425" cy="6832626"/>
            <wp:effectExtent l="1905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3DB" w:rsidRDefault="004033DB" w:rsidP="00BD4406">
      <w:pPr>
        <w:sectPr w:rsidR="004033DB" w:rsidSect="00147BA3">
          <w:footerReference w:type="default" r:id="rId16"/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p w:rsidR="004033DB" w:rsidRPr="003A714C" w:rsidRDefault="004033DB" w:rsidP="004033DB">
      <w:pPr>
        <w:jc w:val="center"/>
        <w:rPr>
          <w:rFonts w:ascii="Trebuchet MS" w:hAnsi="Trebuchet MS"/>
          <w:b/>
          <w:sz w:val="32"/>
          <w:szCs w:val="32"/>
        </w:rPr>
      </w:pPr>
    </w:p>
    <w:p w:rsidR="004033DB" w:rsidRPr="003A714C" w:rsidRDefault="004033DB" w:rsidP="00403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jc w:val="center"/>
        <w:rPr>
          <w:rFonts w:ascii="Trebuchet MS" w:hAnsi="Trebuchet MS"/>
          <w:b/>
          <w:color w:val="FFFFFF"/>
          <w:sz w:val="32"/>
          <w:szCs w:val="32"/>
        </w:rPr>
      </w:pPr>
      <w:r w:rsidRPr="003A714C">
        <w:rPr>
          <w:rFonts w:ascii="Trebuchet MS" w:hAnsi="Trebuchet MS"/>
          <w:b/>
          <w:color w:val="FFFFFF"/>
          <w:sz w:val="32"/>
          <w:szCs w:val="32"/>
        </w:rPr>
        <w:t>Programme des réunions sur les urgences – passage du cyclone Enawo</w:t>
      </w:r>
    </w:p>
    <w:tbl>
      <w:tblPr>
        <w:tblW w:w="149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5324"/>
        <w:gridCol w:w="3913"/>
        <w:gridCol w:w="3544"/>
      </w:tblGrid>
      <w:tr w:rsidR="00011074" w:rsidRPr="003A714C" w:rsidTr="0079561C">
        <w:trPr>
          <w:tblHeader/>
        </w:trPr>
        <w:tc>
          <w:tcPr>
            <w:tcW w:w="2186" w:type="dxa"/>
            <w:shd w:val="clear" w:color="auto" w:fill="95B3D7"/>
          </w:tcPr>
          <w:p w:rsidR="00011074" w:rsidRPr="003A714C" w:rsidRDefault="00011074" w:rsidP="0079561C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Secteur ou plate-forme</w:t>
            </w:r>
          </w:p>
        </w:tc>
        <w:tc>
          <w:tcPr>
            <w:tcW w:w="5324" w:type="dxa"/>
            <w:shd w:val="clear" w:color="auto" w:fill="95B3D7"/>
          </w:tcPr>
          <w:p w:rsidR="00011074" w:rsidRPr="003A714C" w:rsidRDefault="00011074" w:rsidP="0079561C">
            <w:pPr>
              <w:spacing w:after="0"/>
              <w:ind w:firstLine="62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Ordre du jour</w:t>
            </w:r>
          </w:p>
        </w:tc>
        <w:tc>
          <w:tcPr>
            <w:tcW w:w="3913" w:type="dxa"/>
            <w:shd w:val="clear" w:color="auto" w:fill="95B3D7"/>
          </w:tcPr>
          <w:p w:rsidR="00011074" w:rsidRPr="003A714C" w:rsidRDefault="00011074" w:rsidP="0079561C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Lieu, date, heure</w:t>
            </w:r>
          </w:p>
        </w:tc>
        <w:tc>
          <w:tcPr>
            <w:tcW w:w="3544" w:type="dxa"/>
            <w:shd w:val="clear" w:color="auto" w:fill="95B3D7"/>
          </w:tcPr>
          <w:p w:rsidR="00011074" w:rsidRPr="003A714C" w:rsidRDefault="00011074" w:rsidP="0079561C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3A714C">
              <w:rPr>
                <w:rFonts w:ascii="Trebuchet MS" w:hAnsi="Trebuchet MS"/>
                <w:b/>
              </w:rPr>
              <w:t>Point focal</w:t>
            </w:r>
          </w:p>
        </w:tc>
      </w:tr>
      <w:tr w:rsidR="00011074" w:rsidRPr="003A714C" w:rsidTr="0079561C">
        <w:tc>
          <w:tcPr>
            <w:tcW w:w="2186" w:type="dxa"/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Inter-cluster</w:t>
            </w:r>
          </w:p>
        </w:tc>
        <w:tc>
          <w:tcPr>
            <w:tcW w:w="5324" w:type="dxa"/>
            <w:vAlign w:val="center"/>
          </w:tcPr>
          <w:p w:rsidR="00011074" w:rsidRDefault="00011074" w:rsidP="0001107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Flash appeal</w:t>
            </w:r>
          </w:p>
        </w:tc>
        <w:tc>
          <w:tcPr>
            <w:tcW w:w="3913" w:type="dxa"/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Mercredi 15 mars a 09h00, titan II Nations Unies</w:t>
            </w:r>
          </w:p>
        </w:tc>
        <w:tc>
          <w:tcPr>
            <w:tcW w:w="3544" w:type="dxa"/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Rija Rakotoson</w:t>
            </w:r>
          </w:p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Mail : </w:t>
            </w:r>
            <w:hyperlink r:id="rId17" w:history="1">
              <w:r w:rsidRPr="00C41C66">
                <w:rPr>
                  <w:rStyle w:val="Hyperlink"/>
                  <w:rFonts w:ascii="Trebuchet MS" w:hAnsi="Trebuchet MS" w:cs="Arial"/>
                </w:rPr>
                <w:t>rakotoson@un.org</w:t>
              </w:r>
            </w:hyperlink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 : 033 15 076 93</w:t>
            </w:r>
          </w:p>
        </w:tc>
      </w:tr>
      <w:tr w:rsidR="00011074" w:rsidRPr="009C0FF1" w:rsidTr="0079561C">
        <w:tc>
          <w:tcPr>
            <w:tcW w:w="2186" w:type="dxa"/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Cash Transfer group</w:t>
            </w:r>
          </w:p>
        </w:tc>
        <w:tc>
          <w:tcPr>
            <w:tcW w:w="5324" w:type="dxa"/>
            <w:vAlign w:val="center"/>
          </w:tcPr>
          <w:p w:rsidR="00011074" w:rsidRDefault="00011074" w:rsidP="0079561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Pr="009C0FF1">
              <w:rPr>
                <w:rFonts w:ascii="Trebuchet MS" w:hAnsi="Trebuchet MS" w:cs="Arial"/>
              </w:rPr>
              <w:t xml:space="preserve">ise en cohérence des interventions en matière </w:t>
            </w:r>
            <w:r>
              <w:rPr>
                <w:rFonts w:ascii="Trebuchet MS" w:hAnsi="Trebuchet MS" w:cs="Arial"/>
              </w:rPr>
              <w:t>de cash transfert réponse ENAWO</w:t>
            </w:r>
          </w:p>
          <w:p w:rsidR="00011074" w:rsidRDefault="00011074" w:rsidP="0079561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H</w:t>
            </w:r>
            <w:r w:rsidRPr="009C0FF1">
              <w:rPr>
                <w:rFonts w:ascii="Trebuchet MS" w:hAnsi="Trebuchet MS" w:cs="Arial"/>
              </w:rPr>
              <w:t>armonisation des interventions en cours et en perspecti</w:t>
            </w:r>
            <w:r>
              <w:rPr>
                <w:rFonts w:ascii="Trebuchet MS" w:hAnsi="Trebuchet MS" w:cs="Arial"/>
              </w:rPr>
              <w:t>ves</w:t>
            </w:r>
          </w:p>
          <w:p w:rsidR="00011074" w:rsidRPr="009C0FF1" w:rsidRDefault="00011074" w:rsidP="0079561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Pr="009C0FF1">
              <w:rPr>
                <w:rFonts w:ascii="Trebuchet MS" w:hAnsi="Trebuchet MS" w:cs="Arial"/>
              </w:rPr>
              <w:t>écanisme de ciblage et les modalités des transferts.</w:t>
            </w:r>
          </w:p>
        </w:tc>
        <w:tc>
          <w:tcPr>
            <w:tcW w:w="3913" w:type="dxa"/>
            <w:vAlign w:val="center"/>
          </w:tcPr>
          <w:p w:rsidR="00011074" w:rsidRPr="009C0FF1" w:rsidRDefault="00011074" w:rsidP="0079561C">
            <w:pPr>
              <w:spacing w:after="0"/>
              <w:rPr>
                <w:rFonts w:ascii="Trebuchet MS" w:hAnsi="Trebuchet MS" w:cs="Arial"/>
              </w:rPr>
            </w:pPr>
            <w:r w:rsidRPr="009C0FF1">
              <w:rPr>
                <w:rFonts w:ascii="Trebuchet MS" w:hAnsi="Trebuchet MS" w:cs="Arial"/>
              </w:rPr>
              <w:t>Jeudi 16 mars à 10h, MPPSPF Ambohijatovo</w:t>
            </w:r>
          </w:p>
        </w:tc>
        <w:tc>
          <w:tcPr>
            <w:tcW w:w="3544" w:type="dxa"/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 xml:space="preserve">Gaby Gerrero-Serdan, </w:t>
            </w:r>
          </w:p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>Chef</w:t>
            </w:r>
            <w:r>
              <w:rPr>
                <w:rFonts w:ascii="Trebuchet MS" w:hAnsi="Trebuchet MS" w:cs="Arial"/>
              </w:rPr>
              <w:t xml:space="preserve"> </w:t>
            </w:r>
            <w:r w:rsidRPr="008B7425">
              <w:rPr>
                <w:rFonts w:ascii="Trebuchet MS" w:hAnsi="Trebuchet MS" w:cs="Arial"/>
              </w:rPr>
              <w:t>Protection Sociale</w:t>
            </w:r>
            <w:r>
              <w:rPr>
                <w:rFonts w:ascii="Trebuchet MS" w:hAnsi="Trebuchet MS" w:cs="Arial"/>
              </w:rPr>
              <w:t xml:space="preserve"> UNICEF</w:t>
            </w:r>
          </w:p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Mail : </w:t>
            </w:r>
            <w:hyperlink r:id="rId18" w:history="1">
              <w:r w:rsidRPr="00C41C66">
                <w:rPr>
                  <w:rStyle w:val="Hyperlink"/>
                  <w:rFonts w:ascii="Trebuchet MS" w:hAnsi="Trebuchet MS" w:cs="Arial"/>
                </w:rPr>
                <w:t>aguerreroserdan@unicef.org</w:t>
              </w:r>
            </w:hyperlink>
            <w:r>
              <w:rPr>
                <w:rFonts w:ascii="Trebuchet MS" w:hAnsi="Trebuchet MS" w:cs="Arial"/>
              </w:rPr>
              <w:t xml:space="preserve"> </w:t>
            </w:r>
          </w:p>
          <w:p w:rsidR="00011074" w:rsidRPr="009C0FF1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 : 032 23 426 89</w:t>
            </w:r>
          </w:p>
        </w:tc>
      </w:tr>
      <w:tr w:rsidR="00011074" w:rsidRPr="009C0FF1" w:rsidTr="0079561C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Sécurité alimentaire et moyens de subsistance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074" w:rsidRDefault="00011074" w:rsidP="0001107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Préparation de l’évaluation sectorielle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  <w:color w:val="000000"/>
              </w:rPr>
            </w:pPr>
            <w:r>
              <w:rPr>
                <w:rFonts w:ascii="Trebuchet MS" w:hAnsi="Trebuchet MS" w:cs="Arial"/>
                <w:color w:val="000000"/>
              </w:rPr>
              <w:t>Jeudi16 mars à 14h30, bureau de la FAO Ankorahotra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ANDRINIAINA Ravahambola</w:t>
            </w:r>
          </w:p>
          <w:p w:rsidR="00011074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 xml:space="preserve">FAO </w:t>
            </w:r>
          </w:p>
          <w:p w:rsidR="00011074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Tel : +261 32 05 00 309</w:t>
            </w:r>
          </w:p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Mail : ravahambola.andriniaina@fao.org</w:t>
            </w:r>
          </w:p>
        </w:tc>
      </w:tr>
      <w:tr w:rsidR="00011074" w:rsidRPr="009C0FF1" w:rsidTr="0079561C">
        <w:tc>
          <w:tcPr>
            <w:tcW w:w="2186" w:type="dxa"/>
            <w:vAlign w:val="center"/>
          </w:tcPr>
          <w:p w:rsidR="00011074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Cluster Education</w:t>
            </w:r>
          </w:p>
        </w:tc>
        <w:tc>
          <w:tcPr>
            <w:tcW w:w="5324" w:type="dxa"/>
            <w:vAlign w:val="center"/>
          </w:tcPr>
          <w:p w:rsidR="00011074" w:rsidRDefault="00011074" w:rsidP="0079561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204" w:hanging="204"/>
              <w:contextualSpacing w:val="0"/>
              <w:rPr>
                <w:rFonts w:ascii="Trebuchet MS" w:hAnsi="Trebuchet MS" w:cs="Arial"/>
              </w:rPr>
            </w:pPr>
          </w:p>
        </w:tc>
        <w:tc>
          <w:tcPr>
            <w:tcW w:w="3913" w:type="dxa"/>
            <w:vAlign w:val="center"/>
          </w:tcPr>
          <w:p w:rsidR="00011074" w:rsidRPr="009C0FF1" w:rsidRDefault="00011074" w:rsidP="0079561C">
            <w:pPr>
              <w:spacing w:after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Vendredi 17 mars à 10hh30, Galaxy Andraharo</w:t>
            </w:r>
          </w:p>
        </w:tc>
        <w:tc>
          <w:tcPr>
            <w:tcW w:w="3544" w:type="dxa"/>
            <w:vAlign w:val="center"/>
          </w:tcPr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8B7425">
              <w:rPr>
                <w:rFonts w:ascii="Trebuchet MS" w:hAnsi="Trebuchet MS" w:cs="Arial"/>
                <w:lang w:val="en-US"/>
              </w:rPr>
              <w:t>Tracy SPROTT</w:t>
            </w:r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8B7425">
              <w:rPr>
                <w:rFonts w:ascii="Trebuchet MS" w:hAnsi="Trebuchet MS" w:cs="Arial"/>
                <w:lang w:val="en-US"/>
              </w:rPr>
              <w:t>Tel : 0322342620</w:t>
            </w:r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  <w:r w:rsidRPr="008B7425">
              <w:rPr>
                <w:rFonts w:ascii="Trebuchet MS" w:hAnsi="Trebuchet MS" w:cs="Arial"/>
                <w:lang w:val="en-US"/>
              </w:rPr>
              <w:t xml:space="preserve">Mail : </w:t>
            </w:r>
            <w:hyperlink r:id="rId19" w:history="1">
              <w:r w:rsidRPr="00C41C66">
                <w:rPr>
                  <w:rStyle w:val="Hyperlink"/>
                  <w:rFonts w:ascii="Trebuchet MS" w:hAnsi="Trebuchet MS" w:cs="Arial"/>
                  <w:lang w:val="en-US"/>
                </w:rPr>
                <w:t>tsprott@unicef.org</w:t>
              </w:r>
            </w:hyperlink>
            <w:r>
              <w:rPr>
                <w:rFonts w:ascii="Trebuchet MS" w:hAnsi="Trebuchet MS" w:cs="Arial"/>
                <w:lang w:val="en-US"/>
              </w:rPr>
              <w:t xml:space="preserve"> </w:t>
            </w:r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  <w:lang w:val="en-US"/>
              </w:rPr>
            </w:pPr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>Josias Ratsimbazafy</w:t>
            </w:r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>Tel: 0322342605</w:t>
            </w:r>
          </w:p>
          <w:p w:rsidR="00011074" w:rsidRPr="008B7425" w:rsidRDefault="00011074" w:rsidP="0079561C">
            <w:pPr>
              <w:spacing w:after="0"/>
              <w:rPr>
                <w:rFonts w:ascii="Trebuchet MS" w:hAnsi="Trebuchet MS" w:cs="Arial"/>
              </w:rPr>
            </w:pPr>
            <w:r w:rsidRPr="008B7425">
              <w:rPr>
                <w:rFonts w:ascii="Trebuchet MS" w:hAnsi="Trebuchet MS" w:cs="Arial"/>
              </w:rPr>
              <w:t xml:space="preserve">Mail: </w:t>
            </w:r>
            <w:hyperlink r:id="rId20" w:history="1">
              <w:r w:rsidRPr="00C41C66">
                <w:rPr>
                  <w:rStyle w:val="Hyperlink"/>
                  <w:rFonts w:ascii="Trebuchet MS" w:hAnsi="Trebuchet MS" w:cs="Arial"/>
                </w:rPr>
                <w:t>jratsimbazafy@unicef.org</w:t>
              </w:r>
            </w:hyperlink>
            <w:r>
              <w:rPr>
                <w:rFonts w:ascii="Trebuchet MS" w:hAnsi="Trebuchet MS" w:cs="Arial"/>
              </w:rPr>
              <w:t xml:space="preserve"> </w:t>
            </w:r>
          </w:p>
        </w:tc>
      </w:tr>
    </w:tbl>
    <w:p w:rsidR="004033DB" w:rsidRPr="003A714C" w:rsidRDefault="004033DB" w:rsidP="004033DB">
      <w:pPr>
        <w:rPr>
          <w:rFonts w:ascii="Trebuchet MS" w:hAnsi="Trebuchet MS"/>
        </w:rPr>
      </w:pPr>
    </w:p>
    <w:p w:rsidR="004033DB" w:rsidRDefault="004033DB" w:rsidP="00BD4406"/>
    <w:sectPr w:rsidR="004033DB" w:rsidSect="0079561C">
      <w:pgSz w:w="16838" w:h="11906" w:orient="landscape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5D" w:rsidRDefault="00C11E5D" w:rsidP="00283607">
      <w:pPr>
        <w:spacing w:after="0" w:line="240" w:lineRule="auto"/>
      </w:pPr>
      <w:r>
        <w:separator/>
      </w:r>
    </w:p>
  </w:endnote>
  <w:endnote w:type="continuationSeparator" w:id="0">
    <w:p w:rsidR="00C11E5D" w:rsidRDefault="00C11E5D" w:rsidP="0028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61C" w:rsidRDefault="00902AD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6666865</wp:posOffset>
              </wp:positionH>
              <wp:positionV relativeFrom="page">
                <wp:posOffset>9861550</wp:posOffset>
              </wp:positionV>
              <wp:extent cx="368300" cy="274320"/>
              <wp:effectExtent l="8890" t="12700" r="1333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9561C" w:rsidRDefault="00C11E5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02AD4" w:rsidRPr="00902AD4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24.95pt;margin-top:776.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" o:allowincell="f" adj="14135" strokecolor="gray" strokeweight=".25pt">
              <v:textbox>
                <w:txbxContent>
                  <w:p w:rsidR="0079561C" w:rsidRDefault="00C11E5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02AD4" w:rsidRPr="00902AD4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5D" w:rsidRDefault="00C11E5D" w:rsidP="00283607">
      <w:pPr>
        <w:spacing w:after="0" w:line="240" w:lineRule="auto"/>
      </w:pPr>
      <w:r>
        <w:separator/>
      </w:r>
    </w:p>
  </w:footnote>
  <w:footnote w:type="continuationSeparator" w:id="0">
    <w:p w:rsidR="00C11E5D" w:rsidRDefault="00C11E5D" w:rsidP="0028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697"/>
    <w:multiLevelType w:val="hybridMultilevel"/>
    <w:tmpl w:val="AE4E5A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04A1CB3"/>
    <w:multiLevelType w:val="hybridMultilevel"/>
    <w:tmpl w:val="1FB83A2A"/>
    <w:lvl w:ilvl="0" w:tplc="4BEE4C28">
      <w:start w:val="10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924D13"/>
    <w:multiLevelType w:val="hybridMultilevel"/>
    <w:tmpl w:val="0AB087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6D6293C"/>
    <w:multiLevelType w:val="hybridMultilevel"/>
    <w:tmpl w:val="E432ECEE"/>
    <w:lvl w:ilvl="0" w:tplc="040C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DC490CE">
      <w:numFmt w:val="bullet"/>
      <w:lvlText w:val="-"/>
      <w:lvlJc w:val="left"/>
      <w:pPr>
        <w:ind w:left="1877" w:hanging="735"/>
      </w:pPr>
      <w:rPr>
        <w:rFonts w:ascii="Arial" w:eastAsia="Times New Roman" w:hAnsi="Arial" w:cs="Arial" w:hint="default"/>
        <w:color w:val="1F497D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45297E05"/>
    <w:multiLevelType w:val="hybridMultilevel"/>
    <w:tmpl w:val="ABCC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34FD3"/>
    <w:multiLevelType w:val="hybridMultilevel"/>
    <w:tmpl w:val="28AA4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7CA6"/>
    <w:multiLevelType w:val="hybridMultilevel"/>
    <w:tmpl w:val="A52E85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DD2E21"/>
    <w:multiLevelType w:val="hybridMultilevel"/>
    <w:tmpl w:val="7E3E8518"/>
    <w:lvl w:ilvl="0" w:tplc="A8009170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5F51"/>
    <w:multiLevelType w:val="hybridMultilevel"/>
    <w:tmpl w:val="D4181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573D"/>
    <w:multiLevelType w:val="hybridMultilevel"/>
    <w:tmpl w:val="FBB02970"/>
    <w:lvl w:ilvl="0" w:tplc="3C5026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37AFF"/>
    <w:multiLevelType w:val="hybridMultilevel"/>
    <w:tmpl w:val="98AC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416EA"/>
    <w:multiLevelType w:val="hybridMultilevel"/>
    <w:tmpl w:val="84C619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C8200FB"/>
    <w:multiLevelType w:val="hybridMultilevel"/>
    <w:tmpl w:val="E258F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5632F"/>
    <w:multiLevelType w:val="hybridMultilevel"/>
    <w:tmpl w:val="AB149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3"/>
  </w:num>
  <w:num w:numId="14">
    <w:abstractNumId w:val="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8B"/>
    <w:rsid w:val="00011074"/>
    <w:rsid w:val="000249B0"/>
    <w:rsid w:val="000374A8"/>
    <w:rsid w:val="000503DD"/>
    <w:rsid w:val="00072F8D"/>
    <w:rsid w:val="00087765"/>
    <w:rsid w:val="00092FC1"/>
    <w:rsid w:val="000A0625"/>
    <w:rsid w:val="000D29AC"/>
    <w:rsid w:val="000F614D"/>
    <w:rsid w:val="001139DF"/>
    <w:rsid w:val="00130C62"/>
    <w:rsid w:val="001375DE"/>
    <w:rsid w:val="00147BA3"/>
    <w:rsid w:val="001A773E"/>
    <w:rsid w:val="001B4C2C"/>
    <w:rsid w:val="001B69F6"/>
    <w:rsid w:val="001C2B7C"/>
    <w:rsid w:val="001C6FDA"/>
    <w:rsid w:val="00211307"/>
    <w:rsid w:val="002279AB"/>
    <w:rsid w:val="0023588B"/>
    <w:rsid w:val="002520A2"/>
    <w:rsid w:val="0026453F"/>
    <w:rsid w:val="00283607"/>
    <w:rsid w:val="0028663C"/>
    <w:rsid w:val="00311DD2"/>
    <w:rsid w:val="003163C7"/>
    <w:rsid w:val="00337ECE"/>
    <w:rsid w:val="0035362D"/>
    <w:rsid w:val="003A319C"/>
    <w:rsid w:val="003A5BDB"/>
    <w:rsid w:val="003E322D"/>
    <w:rsid w:val="004033DB"/>
    <w:rsid w:val="00434F5C"/>
    <w:rsid w:val="004544A6"/>
    <w:rsid w:val="00464704"/>
    <w:rsid w:val="00476B12"/>
    <w:rsid w:val="00494C4B"/>
    <w:rsid w:val="004C3480"/>
    <w:rsid w:val="00521C8B"/>
    <w:rsid w:val="00581F78"/>
    <w:rsid w:val="00597F47"/>
    <w:rsid w:val="005A2511"/>
    <w:rsid w:val="005A535A"/>
    <w:rsid w:val="005C29B9"/>
    <w:rsid w:val="005E283B"/>
    <w:rsid w:val="005E2B25"/>
    <w:rsid w:val="005E7E34"/>
    <w:rsid w:val="005F4747"/>
    <w:rsid w:val="00630BDF"/>
    <w:rsid w:val="00670C10"/>
    <w:rsid w:val="006D7D2A"/>
    <w:rsid w:val="006E73B9"/>
    <w:rsid w:val="006F2A69"/>
    <w:rsid w:val="00775646"/>
    <w:rsid w:val="00787483"/>
    <w:rsid w:val="0079561C"/>
    <w:rsid w:val="007C56BA"/>
    <w:rsid w:val="007F5C8B"/>
    <w:rsid w:val="00807F47"/>
    <w:rsid w:val="00833A47"/>
    <w:rsid w:val="00843FBC"/>
    <w:rsid w:val="00873FD5"/>
    <w:rsid w:val="008A357D"/>
    <w:rsid w:val="008C77D3"/>
    <w:rsid w:val="008D39E1"/>
    <w:rsid w:val="008E7CDF"/>
    <w:rsid w:val="00902AD4"/>
    <w:rsid w:val="009061DD"/>
    <w:rsid w:val="00933F43"/>
    <w:rsid w:val="009D1CEC"/>
    <w:rsid w:val="009E0721"/>
    <w:rsid w:val="009E44EC"/>
    <w:rsid w:val="009F08A8"/>
    <w:rsid w:val="00A46E29"/>
    <w:rsid w:val="00A57EEA"/>
    <w:rsid w:val="00A82940"/>
    <w:rsid w:val="00AB4AAC"/>
    <w:rsid w:val="00B25EC1"/>
    <w:rsid w:val="00B40020"/>
    <w:rsid w:val="00B910CA"/>
    <w:rsid w:val="00BC4E85"/>
    <w:rsid w:val="00BD4406"/>
    <w:rsid w:val="00BE4991"/>
    <w:rsid w:val="00C11E5D"/>
    <w:rsid w:val="00C2753E"/>
    <w:rsid w:val="00C7327B"/>
    <w:rsid w:val="00C813DF"/>
    <w:rsid w:val="00CC21F8"/>
    <w:rsid w:val="00D37FB7"/>
    <w:rsid w:val="00D761B1"/>
    <w:rsid w:val="00E156C2"/>
    <w:rsid w:val="00E7527B"/>
    <w:rsid w:val="00E75FF3"/>
    <w:rsid w:val="00E97880"/>
    <w:rsid w:val="00ED1F35"/>
    <w:rsid w:val="00EF5126"/>
    <w:rsid w:val="00F8383B"/>
    <w:rsid w:val="00F9388E"/>
    <w:rsid w:val="00FD1E68"/>
    <w:rsid w:val="00F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72AFA5-6895-488A-973E-1F58E7B4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4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E44EC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A773E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773E"/>
    <w:rPr>
      <w:rFonts w:ascii="Calibri" w:eastAsia="Calibri" w:hAnsi="Calibri" w:cs="Times New Roman"/>
      <w:szCs w:val="21"/>
      <w:lang w:val="en-US"/>
    </w:rPr>
  </w:style>
  <w:style w:type="table" w:customStyle="1" w:styleId="PlainTable21">
    <w:name w:val="Plain Table 21"/>
    <w:basedOn w:val="TableNormal"/>
    <w:uiPriority w:val="42"/>
    <w:rsid w:val="001A773E"/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1A773E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607"/>
  </w:style>
  <w:style w:type="paragraph" w:styleId="Footer">
    <w:name w:val="footer"/>
    <w:basedOn w:val="Normal"/>
    <w:link w:val="FooterCh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607"/>
  </w:style>
  <w:style w:type="character" w:styleId="Hyperlink">
    <w:name w:val="Hyperlink"/>
    <w:basedOn w:val="DefaultParagraphFont"/>
    <w:uiPriority w:val="99"/>
    <w:unhideWhenUsed/>
    <w:rsid w:val="000A0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4A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aguerreroserdan@unicef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rakotoson@un.org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jratsimbazafy@unicef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tsprott@unicef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1157</Words>
  <Characters>5994</Characters>
  <Application>Microsoft Office Word</Application>
  <DocSecurity>0</DocSecurity>
  <Lines>136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RAONIVELO Nianja</dc:creator>
  <cp:lastModifiedBy>ASHMORE Joseph</cp:lastModifiedBy>
  <cp:revision>2</cp:revision>
  <cp:lastPrinted>2017-03-10T15:48:00Z</cp:lastPrinted>
  <dcterms:created xsi:type="dcterms:W3CDTF">2017-03-16T16:33:00Z</dcterms:created>
  <dcterms:modified xsi:type="dcterms:W3CDTF">2017-03-16T16:33:00Z</dcterms:modified>
</cp:coreProperties>
</file>