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64" w:lineRule="auto"/>
        <w:jc w:val="center"/>
        <w:rPr>
          <w:b w:val="1"/>
          <w:color w:val="365f91"/>
          <w:sz w:val="16"/>
          <w:szCs w:val="16"/>
        </w:rPr>
      </w:pPr>
      <w:r w:rsidDel="00000000" w:rsidR="00000000" w:rsidRPr="00000000">
        <w:rPr>
          <w:b w:val="1"/>
          <w:color w:val="365f91"/>
          <w:sz w:val="24"/>
          <w:szCs w:val="24"/>
          <w:rtl w:val="0"/>
        </w:rPr>
        <w:t xml:space="preserve">Promoting Safer Building </w:t>
      </w:r>
      <w:r w:rsidDel="00000000" w:rsidR="00000000" w:rsidRPr="00000000">
        <w:rPr>
          <w:rtl w:val="0"/>
        </w:rPr>
        <w:t xml:space="preserve"> </w:t>
      </w:r>
      <w:r w:rsidDel="00000000" w:rsidR="00000000" w:rsidRPr="00000000">
        <w:rPr>
          <w:rtl w:val="0"/>
        </w:rPr>
      </w:r>
    </w:p>
    <w:tbl>
      <w:tblPr>
        <w:tblStyle w:val="Table1"/>
        <w:tblW w:w="10230.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085"/>
        <w:gridCol w:w="8145"/>
        <w:tblGridChange w:id="0">
          <w:tblGrid>
            <w:gridCol w:w="2085"/>
            <w:gridCol w:w="8145"/>
          </w:tblGrid>
        </w:tblGridChange>
      </w:tblGrid>
      <w:tr>
        <w:tc>
          <w:tcPr>
            <w:tcBorders>
              <w:right w:color="a6a6a6" w:space="0" w:sz="4" w:val="single"/>
            </w:tcBorders>
          </w:tcPr>
          <w:p w:rsidR="00000000" w:rsidDel="00000000" w:rsidP="00000000" w:rsidRDefault="00000000" w:rsidRPr="00000000" w14:paraId="00000002">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3">
            <w:pPr>
              <w:rPr>
                <w:b w:val="1"/>
              </w:rPr>
            </w:pPr>
            <w:r w:rsidDel="00000000" w:rsidR="00000000" w:rsidRPr="00000000">
              <w:rPr>
                <w:b w:val="1"/>
                <w:rtl w:val="0"/>
              </w:rPr>
              <w:t xml:space="preserve">Building capacity: How to support implementing agencies to complete their own context analysis for shelter response.</w:t>
            </w:r>
          </w:p>
          <w:p w:rsidR="00000000" w:rsidDel="00000000" w:rsidP="00000000" w:rsidRDefault="00000000" w:rsidRPr="00000000" w14:paraId="00000004">
            <w:pPr>
              <w:rPr/>
            </w:pPr>
            <w:r w:rsidDel="00000000" w:rsidR="00000000" w:rsidRPr="00000000">
              <w:rPr>
                <w:rtl w:val="0"/>
              </w:rPr>
              <w:t xml:space="preserve">Understanding Differences in Household and Engineering Perceptions of Safety</w:t>
            </w:r>
          </w:p>
        </w:tc>
      </w:tr>
      <w:tr>
        <w:tc>
          <w:tcPr>
            <w:tcBorders>
              <w:right w:color="a6a6a6" w:space="0" w:sz="4" w:val="single"/>
            </w:tcBorders>
          </w:tcPr>
          <w:p w:rsidR="00000000" w:rsidDel="00000000" w:rsidP="00000000" w:rsidRDefault="00000000" w:rsidRPr="00000000" w14:paraId="00000005">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6">
            <w:pPr>
              <w:rPr/>
            </w:pPr>
            <w:r w:rsidDel="00000000" w:rsidR="00000000" w:rsidRPr="00000000">
              <w:rPr>
                <w:rtl w:val="0"/>
              </w:rPr>
              <w:t xml:space="preserve">The Promoting Safer Building Working group seeks to carry out activities which address the needs of those who self-build. It specifically addresses three important gaps:</w:t>
            </w:r>
          </w:p>
          <w:p w:rsidR="00000000" w:rsidDel="00000000" w:rsidP="00000000" w:rsidRDefault="00000000" w:rsidRPr="00000000" w14:paraId="00000007">
            <w:pPr>
              <w:rPr/>
            </w:pPr>
            <w:r w:rsidDel="00000000" w:rsidR="00000000" w:rsidRPr="00000000">
              <w:rPr>
                <w:rtl w:val="0"/>
              </w:rPr>
              <w:t xml:space="preserve">1.Understanding the self-recovery process and best practices in how to support it. How to understand and support both the needs and choices of disaster affected people, support them to overcome obstacles and allow them to take control of their own recovery. (Contributes to Strategy 3.1 Evidence-based response)</w:t>
            </w:r>
          </w:p>
          <w:p w:rsidR="00000000" w:rsidDel="00000000" w:rsidP="00000000" w:rsidRDefault="00000000" w:rsidRPr="00000000" w14:paraId="00000008">
            <w:pPr>
              <w:rPr/>
            </w:pPr>
            <w:r w:rsidDel="00000000" w:rsidR="00000000" w:rsidRPr="00000000">
              <w:rPr>
                <w:rtl w:val="0"/>
              </w:rPr>
              <w:t xml:space="preserve">2.Understanding Local Building Cultures: How can we better understand how to make the best use of existing good practices offered by local building cultures (LBC) and Building Back Better/Safer activities promoted by emergency and development agencies. (Contributes to Strategy 1.1, 1.2 and 1.3 Coordination and 3.1 Evidence-based response)</w:t>
            </w:r>
          </w:p>
          <w:p w:rsidR="00000000" w:rsidDel="00000000" w:rsidP="00000000" w:rsidRDefault="00000000" w:rsidRPr="00000000" w14:paraId="00000009">
            <w:pPr>
              <w:rPr/>
            </w:pPr>
            <w:r w:rsidDel="00000000" w:rsidR="00000000" w:rsidRPr="00000000">
              <w:rPr>
                <w:rtl w:val="0"/>
              </w:rPr>
              <w:t xml:space="preserve">3. Improving knowledge exchange and communications processes in construction practice. Learning from and improving on current technology transfer and public education approaches, what communication, teaching and promotion methods really work? (Contributes to Strategy 1.1 Coordination)</w:t>
            </w:r>
          </w:p>
        </w:tc>
      </w:tr>
      <w:tr>
        <w:tc>
          <w:tcPr>
            <w:tcBorders>
              <w:right w:color="a6a6a6" w:space="0" w:sz="4" w:val="single"/>
            </w:tcBorders>
          </w:tcPr>
          <w:p w:rsidR="00000000" w:rsidDel="00000000" w:rsidP="00000000" w:rsidRDefault="00000000" w:rsidRPr="00000000" w14:paraId="0000000A">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B">
            <w:pPr>
              <w:rPr>
                <w:b w:val="1"/>
              </w:rPr>
            </w:pPr>
            <w:r w:rsidDel="00000000" w:rsidR="00000000" w:rsidRPr="00000000">
              <w:rPr>
                <w:b w:val="1"/>
                <w:rtl w:val="0"/>
              </w:rPr>
              <w:t xml:space="preserve">Part 1: Building capacity: How to support implementing agencies to complete their own context analysis for shelter response.</w:t>
            </w:r>
          </w:p>
          <w:p w:rsidR="00000000" w:rsidDel="00000000" w:rsidP="00000000" w:rsidRDefault="00000000" w:rsidRPr="00000000" w14:paraId="0000000C">
            <w:pPr>
              <w:rPr/>
            </w:pPr>
            <w:r w:rsidDel="00000000" w:rsidR="00000000" w:rsidRPr="00000000">
              <w:rPr>
                <w:rtl w:val="0"/>
              </w:rPr>
              <w:t xml:space="preserve">The first part of the session will reflect on recent experiences in working with the DRC Shelter Cluster to complete a context analysis to inform their shelter response. It will draw out lessons learned for building in-country capacity to make use of existing tools to carry out such analyses.   In this way this part of the session links to 4.1 Skills, 4.2 Preparedness and 4.4 Future of Shelter and Settlement of Pillar 4 of the Global Shelter Cluster Strategy.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Part 2: Understanding Differences in Household and Engineering Perceptions of Safety.</w:t>
            </w:r>
          </w:p>
          <w:p w:rsidR="00000000" w:rsidDel="00000000" w:rsidP="00000000" w:rsidRDefault="00000000" w:rsidRPr="00000000" w14:paraId="0000000F">
            <w:pPr>
              <w:rPr/>
            </w:pPr>
            <w:r w:rsidDel="00000000" w:rsidR="00000000" w:rsidRPr="00000000">
              <w:rPr>
                <w:rtl w:val="0"/>
              </w:rPr>
              <w:t xml:space="preserve">The second part of the session will interrogate the differences in household and engineering perceptions of safety in shelter. Acknowledging and addressing the existing perceptions about what is safe shelter is fundamental step in building technical capacity in shelter response. This part of the session links to 4.1 Skills of Pillar 4 of the Global Shelter Cluster Strategy.</w:t>
            </w:r>
          </w:p>
        </w:tc>
      </w:tr>
      <w:tr>
        <w:tc>
          <w:tcPr>
            <w:tcBorders>
              <w:right w:color="a6a6a6" w:space="0" w:sz="4" w:val="single"/>
            </w:tcBorders>
          </w:tcPr>
          <w:p w:rsidR="00000000" w:rsidDel="00000000" w:rsidP="00000000" w:rsidRDefault="00000000" w:rsidRPr="00000000" w14:paraId="00000010">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11">
            <w:pPr>
              <w:ind w:left="425.19685039370046" w:hanging="360"/>
              <w:rPr/>
            </w:pPr>
            <w:r w:rsidDel="00000000" w:rsidR="00000000" w:rsidRPr="00000000">
              <w:rPr>
                <w:rtl w:val="0"/>
              </w:rPr>
              <w:t xml:space="preserve">The session has the following objectives:</w:t>
            </w:r>
          </w:p>
          <w:p w:rsidR="00000000" w:rsidDel="00000000" w:rsidP="00000000" w:rsidRDefault="00000000" w:rsidRPr="00000000" w14:paraId="00000012">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refine existing tools for data collection and analysis and explore ways forward for building capacity and promoting the use of shelter response profile methodologies for shelter response. </w:t>
            </w:r>
          </w:p>
          <w:p w:rsidR="00000000" w:rsidDel="00000000" w:rsidP="00000000" w:rsidRDefault="00000000" w:rsidRPr="00000000" w14:paraId="00000013">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identify specific frictions between community and engineer perceptions of safe shelter, particularly as it relates to performance under extreme wind loads and develop strategies for shelter programs to address these frictions.</w:t>
            </w:r>
            <w:r w:rsidDel="00000000" w:rsidR="00000000" w:rsidRPr="00000000">
              <w:rPr>
                <w:rtl w:val="0"/>
              </w:rPr>
            </w:r>
          </w:p>
        </w:tc>
      </w:tr>
      <w:tr>
        <w:tc>
          <w:tcPr>
            <w:tcBorders>
              <w:right w:color="a6a6a6" w:space="0" w:sz="4" w:val="single"/>
            </w:tcBorders>
          </w:tcPr>
          <w:p w:rsidR="00000000" w:rsidDel="00000000" w:rsidP="00000000" w:rsidRDefault="00000000" w:rsidRPr="00000000" w14:paraId="00000014">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15">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awareness of shelter response profiles</w:t>
            </w:r>
          </w:p>
          <w:p w:rsidR="00000000" w:rsidDel="00000000" w:rsidP="00000000" w:rsidRDefault="00000000" w:rsidRPr="00000000" w14:paraId="00000016">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5.19685039370046"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awareness of different perspectives between community and engineering ideas of safe shelter (and how these might be driven by culture, history a list of strategies to address these differences.</w:t>
            </w:r>
          </w:p>
        </w:tc>
      </w:tr>
      <w:tr>
        <w:tc>
          <w:tcPr>
            <w:tcBorders>
              <w:right w:color="a6a6a6" w:space="0" w:sz="4" w:val="single"/>
            </w:tcBorders>
          </w:tcPr>
          <w:p w:rsidR="00000000" w:rsidDel="00000000" w:rsidP="00000000" w:rsidRDefault="00000000" w:rsidRPr="00000000" w14:paraId="00000017">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18">
            <w:pPr>
              <w:rPr/>
            </w:pPr>
            <w:r w:rsidDel="00000000" w:rsidR="00000000" w:rsidRPr="00000000">
              <w:rPr>
                <w:rtl w:val="0"/>
              </w:rPr>
              <w:t xml:space="preserve">The minutes of the meeting will be made available in a report on the PSB WG Website. The list of different perspectives and strategies will be summarized in a report that will be publicly available.</w:t>
            </w:r>
          </w:p>
        </w:tc>
      </w:tr>
      <w:tr>
        <w:tc>
          <w:tcPr>
            <w:tcBorders>
              <w:right w:color="a6a6a6" w:space="0" w:sz="4" w:val="single"/>
            </w:tcBorders>
          </w:tcPr>
          <w:p w:rsidR="00000000" w:rsidDel="00000000" w:rsidP="00000000" w:rsidRDefault="00000000" w:rsidRPr="00000000" w14:paraId="00000019">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A">
            <w:pPr>
              <w:rPr/>
            </w:pPr>
            <w:r w:rsidDel="00000000" w:rsidR="00000000" w:rsidRPr="00000000">
              <w:rPr>
                <w:rtl w:val="0"/>
              </w:rPr>
              <w:t xml:space="preserve">90 mins</w:t>
            </w:r>
          </w:p>
        </w:tc>
      </w:tr>
    </w:tbl>
    <w:p w:rsidR="00000000" w:rsidDel="00000000" w:rsidP="00000000" w:rsidRDefault="00000000" w:rsidRPr="00000000" w14:paraId="0000001B">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196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Your session plan </w:t>
            </w:r>
          </w:p>
          <w:p w:rsidR="00000000" w:rsidDel="00000000" w:rsidP="00000000" w:rsidRDefault="00000000" w:rsidRPr="00000000" w14:paraId="0000001E">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F">
            <w:pPr>
              <w:rPr>
                <w:b w:val="1"/>
              </w:rPr>
            </w:pPr>
            <w:r w:rsidDel="00000000" w:rsidR="00000000" w:rsidRPr="00000000">
              <w:rPr>
                <w:b w:val="1"/>
                <w:rtl w:val="0"/>
              </w:rPr>
              <w:t xml:space="preserve">Part 1: Building capacity: How to support implementing agencies to complete their own context analysis for shelter response.</w:t>
            </w:r>
          </w:p>
          <w:p w:rsidR="00000000" w:rsidDel="00000000" w:rsidP="00000000" w:rsidRDefault="00000000" w:rsidRPr="00000000" w14:paraId="00000020">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 Olivier Moles (30 mins):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Recent experiences in working with the DRC Shelter Cluster to complete a context analysis to inform their shelter response.</w:t>
            </w:r>
          </w:p>
          <w:p w:rsidR="00000000" w:rsidDel="00000000" w:rsidP="00000000" w:rsidRDefault="00000000" w:rsidRPr="00000000" w14:paraId="00000021">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 Full Group (15 mins) Next Steps: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disseminate the methodology to other country level clusters. </w:t>
            </w: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Part 2: Understanding Differences in Household and Engineering Perceptions of Safety.</w:t>
            </w:r>
          </w:p>
          <w:p w:rsidR="00000000" w:rsidDel="00000000" w:rsidP="00000000" w:rsidRDefault="00000000" w:rsidRPr="00000000" w14:paraId="00000024">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Presentation, Casie Venable (10 mins)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Differences in Household and Engineering Perceptions of Safety</w:t>
            </w:r>
          </w:p>
          <w:p w:rsidR="00000000" w:rsidDel="00000000" w:rsidP="00000000" w:rsidRDefault="00000000" w:rsidRPr="00000000" w14:paraId="00000025">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 in groups (20 mins)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articipants to share their stories about the different perspectives that have observed and experienced in their work between households and engineers regarding safe shelter. Each group select a specific friction and recommend strategies on how to address that friction to ensure that safe shelter is constructed. </w:t>
            </w:r>
          </w:p>
          <w:p w:rsidR="00000000" w:rsidDel="00000000" w:rsidP="00000000" w:rsidRDefault="00000000" w:rsidRPr="00000000" w14:paraId="00000026">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Plenary (15 mins)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share their recommendations and make final comments.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7">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8">
            <w:pPr>
              <w:rPr/>
            </w:pPr>
            <w:r w:rsidDel="00000000" w:rsidR="00000000" w:rsidRPr="00000000">
              <w:rPr>
                <w:rtl w:val="0"/>
              </w:rPr>
              <w:t xml:space="preserve">Projector/PowerPoint facilities</w:t>
            </w:r>
          </w:p>
          <w:p w:rsidR="00000000" w:rsidDel="00000000" w:rsidP="00000000" w:rsidRDefault="00000000" w:rsidRPr="00000000" w14:paraId="00000029">
            <w:pPr>
              <w:rPr/>
            </w:pPr>
            <w:r w:rsidDel="00000000" w:rsidR="00000000" w:rsidRPr="00000000">
              <w:rPr>
                <w:rtl w:val="0"/>
              </w:rPr>
              <w:t xml:space="preserve">Flipchart paper</w:t>
            </w:r>
          </w:p>
          <w:p w:rsidR="00000000" w:rsidDel="00000000" w:rsidP="00000000" w:rsidRDefault="00000000" w:rsidRPr="00000000" w14:paraId="0000002A">
            <w:pPr>
              <w:rPr/>
            </w:pPr>
            <w:r w:rsidDel="00000000" w:rsidR="00000000" w:rsidRPr="00000000">
              <w:rPr>
                <w:rtl w:val="0"/>
              </w:rPr>
              <w:t xml:space="preserve">Post it notes</w:t>
            </w:r>
          </w:p>
          <w:p w:rsidR="00000000" w:rsidDel="00000000" w:rsidP="00000000" w:rsidRDefault="00000000" w:rsidRPr="00000000" w14:paraId="0000002B">
            <w:pPr>
              <w:rPr/>
            </w:pPr>
            <w:r w:rsidDel="00000000" w:rsidR="00000000" w:rsidRPr="00000000">
              <w:rPr>
                <w:rtl w:val="0"/>
              </w:rPr>
              <w:t xml:space="preserve">Markers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C">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D">
            <w:pPr>
              <w:rPr/>
            </w:pPr>
            <w:r w:rsidDel="00000000" w:rsidR="00000000" w:rsidRPr="00000000">
              <w:rPr>
                <w:rtl w:val="0"/>
              </w:rPr>
              <w:t xml:space="preserve">n/a</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E">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F">
            <w:pPr>
              <w:spacing w:after="120" w:before="120" w:line="264" w:lineRule="auto"/>
              <w:rPr>
                <w:sz w:val="20"/>
                <w:szCs w:val="20"/>
              </w:rPr>
            </w:pPr>
            <w:r w:rsidDel="00000000" w:rsidR="00000000" w:rsidRPr="00000000">
              <w:rPr>
                <w:sz w:val="20"/>
                <w:szCs w:val="20"/>
                <w:rtl w:val="0"/>
              </w:rPr>
              <w:t xml:space="preserve">A working group member will take notes to form a report which will be circulated among WG members and published on the PSB WG website.</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0">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1">
            <w:pPr>
              <w:spacing w:after="120" w:before="120" w:line="264" w:lineRule="auto"/>
              <w:rPr>
                <w:sz w:val="20"/>
                <w:szCs w:val="20"/>
              </w:rPr>
            </w:pPr>
            <w:r w:rsidDel="00000000" w:rsidR="00000000" w:rsidRPr="00000000">
              <w:rPr>
                <w:sz w:val="20"/>
                <w:szCs w:val="20"/>
                <w:rtl w:val="0"/>
              </w:rPr>
              <w:t xml:space="preserve">No thank you. </w:t>
            </w:r>
          </w:p>
        </w:tc>
      </w:tr>
    </w:tbl>
    <w:p w:rsidR="00000000" w:rsidDel="00000000" w:rsidP="00000000" w:rsidRDefault="00000000" w:rsidRPr="00000000" w14:paraId="00000032">
      <w:pPr>
        <w:spacing w:after="120" w:before="120" w:line="264" w:lineRule="auto"/>
        <w:ind w:hanging="720"/>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C41813"/>
    <w:pPr>
      <w:ind w:left="720"/>
      <w:contextualSpacing w:val="1"/>
    </w:p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G7/tqKH31QH6DsMpEgSasPBn/g==">AMUW2mVALHD/w+bfR3dlODQZOqy/qopSJEoE1WMmokMtSYS/fyX5kLyk+VOkmWDjopp601ZpHQbCToeNt5CvANDl6euu2hQaV3IYBR+7KEBU5WMqzEsmP4Cr66OpJLkXxlEBzlUoRUq0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2019-09-23T16:11:00Z</dcterms:created>
  <dc:creator>Schofield, Holly</dc:creator>
</cp:coreProperties>
</file>