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E7" w:rsidRDefault="00884B88" w:rsidP="00F40B48">
      <w:pPr>
        <w:pStyle w:val="Heading1"/>
        <w:jc w:val="both"/>
      </w:pPr>
      <w:r w:rsidRPr="00884B88">
        <w:rPr>
          <w:noProof/>
        </w:rPr>
        <w:drawing>
          <wp:anchor distT="0" distB="0" distL="114300" distR="114300" simplePos="0" relativeHeight="251658240" behindDoc="1" locked="0" layoutInCell="1" allowOverlap="1" wp14:anchorId="40963341" wp14:editId="3846A344">
            <wp:simplePos x="0" y="0"/>
            <wp:positionH relativeFrom="column">
              <wp:posOffset>610953</wp:posOffset>
            </wp:positionH>
            <wp:positionV relativeFrom="paragraph">
              <wp:posOffset>-407090</wp:posOffset>
            </wp:positionV>
            <wp:extent cx="4535170" cy="819150"/>
            <wp:effectExtent l="0" t="0" r="0" b="0"/>
            <wp:wrapNone/>
            <wp:docPr id="2" name="Picture 2" descr="C:\Users\decoupig\Desktop\Template\logo She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coupig\Desktop\Template\logo Shel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B88" w:rsidRDefault="00884B88" w:rsidP="00F40B48">
      <w:pPr>
        <w:jc w:val="both"/>
        <w:rPr>
          <w:rFonts w:ascii="Arial" w:hAnsi="Arial" w:cs="Arial"/>
          <w:color w:val="548DD4" w:themeColor="text2" w:themeTint="99"/>
        </w:rPr>
      </w:pPr>
    </w:p>
    <w:p w:rsidR="00BE7BC3" w:rsidRPr="00AB42DA" w:rsidRDefault="00716AF3" w:rsidP="00F40B48">
      <w:pPr>
        <w:jc w:val="both"/>
        <w:rPr>
          <w:rFonts w:ascii="Arial" w:hAnsi="Arial" w:cs="Arial"/>
          <w:b/>
          <w:color w:val="943634" w:themeColor="accent2" w:themeShade="BF"/>
        </w:rPr>
      </w:pPr>
      <w:r>
        <w:rPr>
          <w:rFonts w:ascii="Arial" w:hAnsi="Arial" w:cs="Arial"/>
          <w:b/>
          <w:color w:val="943634" w:themeColor="accent2" w:themeShade="BF"/>
        </w:rPr>
        <w:t>Minutes de Réunion de Coordination du</w:t>
      </w:r>
      <w:r w:rsidR="00E379B9">
        <w:rPr>
          <w:rFonts w:ascii="Arial" w:hAnsi="Arial" w:cs="Arial"/>
          <w:b/>
          <w:color w:val="943634" w:themeColor="accent2" w:themeShade="BF"/>
        </w:rPr>
        <w:t xml:space="preserve"> Sub-</w:t>
      </w:r>
      <w:r w:rsidR="00BE7BC3" w:rsidRPr="00AB42DA">
        <w:rPr>
          <w:rFonts w:ascii="Arial" w:hAnsi="Arial" w:cs="Arial"/>
          <w:b/>
          <w:color w:val="943634" w:themeColor="accent2" w:themeShade="BF"/>
        </w:rPr>
        <w:t>Cluster CCCM/Abris/AME</w:t>
      </w:r>
    </w:p>
    <w:p w:rsidR="008032DD" w:rsidRDefault="009B6BF0" w:rsidP="00F40B48">
      <w:pPr>
        <w:jc w:val="both"/>
        <w:rPr>
          <w:rFonts w:ascii="Arial" w:hAnsi="Arial" w:cs="Arial"/>
          <w:b/>
          <w:color w:val="943634" w:themeColor="accent2" w:themeShade="BF"/>
        </w:rPr>
      </w:pPr>
      <w:r>
        <w:rPr>
          <w:rFonts w:ascii="Arial" w:hAnsi="Arial" w:cs="Arial"/>
          <w:b/>
          <w:color w:val="943634" w:themeColor="accent2" w:themeShade="BF"/>
        </w:rPr>
        <w:t>25 Octobre 2018</w:t>
      </w:r>
      <w:r w:rsidR="00E379B9">
        <w:rPr>
          <w:rFonts w:ascii="Arial" w:hAnsi="Arial" w:cs="Arial"/>
          <w:b/>
          <w:color w:val="943634" w:themeColor="accent2" w:themeShade="BF"/>
        </w:rPr>
        <w:t xml:space="preserve"> – Bagasola</w:t>
      </w:r>
      <w:r w:rsidR="00533BAD">
        <w:rPr>
          <w:rFonts w:ascii="Arial" w:hAnsi="Arial" w:cs="Arial"/>
          <w:b/>
          <w:color w:val="943634" w:themeColor="accent2" w:themeShade="BF"/>
        </w:rPr>
        <w:t xml:space="preserve"> – Bureau du UNHCR</w:t>
      </w:r>
    </w:p>
    <w:p w:rsidR="008032DD" w:rsidRPr="008032DD" w:rsidRDefault="008032DD" w:rsidP="00F40B48">
      <w:pPr>
        <w:jc w:val="both"/>
        <w:rPr>
          <w:rFonts w:ascii="Arial" w:hAnsi="Arial" w:cs="Arial"/>
          <w:b/>
          <w:color w:val="943634" w:themeColor="accent2" w:themeShade="BF"/>
        </w:rPr>
      </w:pPr>
    </w:p>
    <w:p w:rsidR="005D6262" w:rsidRPr="00EE1D9A" w:rsidRDefault="009117E7" w:rsidP="00F40B48">
      <w:pPr>
        <w:shd w:val="clear" w:color="auto" w:fill="943634" w:themeFill="accent2" w:themeFillShade="BF"/>
        <w:jc w:val="both"/>
        <w:rPr>
          <w:rFonts w:ascii="Arial" w:hAnsi="Arial" w:cs="Arial"/>
          <w:color w:val="FFFFFF" w:themeColor="background1"/>
        </w:rPr>
      </w:pPr>
      <w:r w:rsidRPr="00EE1D9A">
        <w:rPr>
          <w:rFonts w:ascii="Arial" w:hAnsi="Arial" w:cs="Arial"/>
          <w:color w:val="FFFFFF" w:themeColor="background1"/>
        </w:rPr>
        <w:t>1</w:t>
      </w:r>
      <w:r w:rsidR="00BE7BC3" w:rsidRPr="00EE1D9A">
        <w:rPr>
          <w:rFonts w:ascii="Arial" w:hAnsi="Arial" w:cs="Arial"/>
          <w:color w:val="FFFFFF" w:themeColor="background1"/>
        </w:rPr>
        <w:t>.</w:t>
      </w:r>
      <w:r w:rsidRPr="00EE1D9A">
        <w:rPr>
          <w:rFonts w:ascii="Arial" w:hAnsi="Arial" w:cs="Arial"/>
          <w:color w:val="FFFFFF" w:themeColor="background1"/>
        </w:rPr>
        <w:t xml:space="preserve"> </w:t>
      </w:r>
      <w:r w:rsidR="00BE7BC3" w:rsidRPr="00EE1D9A">
        <w:rPr>
          <w:rFonts w:ascii="Arial" w:hAnsi="Arial" w:cs="Arial"/>
          <w:color w:val="FFFFFF" w:themeColor="background1"/>
        </w:rPr>
        <w:t>Introduction</w:t>
      </w:r>
    </w:p>
    <w:p w:rsidR="006D2DFD" w:rsidRDefault="006D2DFD" w:rsidP="00F40B48">
      <w:pPr>
        <w:jc w:val="both"/>
        <w:rPr>
          <w:rFonts w:ascii="Arial" w:hAnsi="Arial" w:cs="Arial"/>
          <w:sz w:val="20"/>
          <w:szCs w:val="20"/>
        </w:rPr>
      </w:pPr>
    </w:p>
    <w:p w:rsidR="00F733ED" w:rsidRPr="008440A5" w:rsidRDefault="009B6BF0" w:rsidP="00F40B48">
      <w:p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 xml:space="preserve">Cette réunion est en suivi à la réunion réalisée en date du Lundi 22 Octobre dans le but de planifier une intervention en NFI sur les sites en situation critique dans la sous-préfecture de Kaiga Kindjiria. Il était question dans cette réunion de finaliser certains points discutés lors de la rencontre antérieure. </w:t>
      </w:r>
    </w:p>
    <w:p w:rsidR="009B6BF0" w:rsidRPr="008440A5" w:rsidRDefault="009B6BF0" w:rsidP="00F40B48">
      <w:pPr>
        <w:jc w:val="both"/>
        <w:rPr>
          <w:rFonts w:ascii="Arial Narrow" w:hAnsi="Arial Narrow" w:cs="Arial"/>
        </w:rPr>
      </w:pPr>
    </w:p>
    <w:p w:rsidR="00F45611" w:rsidRPr="008440A5" w:rsidRDefault="00F45611" w:rsidP="00F40B48">
      <w:pPr>
        <w:shd w:val="clear" w:color="auto" w:fill="943634" w:themeFill="accent2" w:themeFillShade="BF"/>
        <w:jc w:val="both"/>
        <w:rPr>
          <w:rFonts w:ascii="Arial Narrow" w:hAnsi="Arial Narrow" w:cs="Arial"/>
          <w:color w:val="FFFFFF" w:themeColor="background1"/>
        </w:rPr>
      </w:pPr>
      <w:r w:rsidRPr="008440A5">
        <w:rPr>
          <w:rFonts w:ascii="Arial Narrow" w:hAnsi="Arial Narrow" w:cs="Arial"/>
          <w:color w:val="FFFFFF" w:themeColor="background1"/>
        </w:rPr>
        <w:t>2. Participants</w:t>
      </w:r>
    </w:p>
    <w:p w:rsidR="00F45611" w:rsidRPr="008440A5" w:rsidRDefault="00F45611" w:rsidP="00F40B48">
      <w:pPr>
        <w:jc w:val="both"/>
        <w:rPr>
          <w:rFonts w:ascii="Arial Narrow" w:hAnsi="Arial Narrow" w:cs="Arial"/>
        </w:rPr>
      </w:pPr>
    </w:p>
    <w:p w:rsidR="00716AF3" w:rsidRPr="008440A5" w:rsidRDefault="009B6BF0" w:rsidP="00F40B48">
      <w:pPr>
        <w:jc w:val="both"/>
        <w:rPr>
          <w:rFonts w:ascii="Arial Narrow" w:hAnsi="Arial Narrow" w:cs="Arial"/>
          <w:lang w:val="en-US"/>
        </w:rPr>
      </w:pPr>
      <w:r w:rsidRPr="008440A5">
        <w:rPr>
          <w:rFonts w:ascii="Arial Narrow" w:hAnsi="Arial Narrow" w:cs="Arial"/>
          <w:lang w:val="en-US"/>
        </w:rPr>
        <w:t xml:space="preserve">HCR, OIM, ACF, Help Chad, Care International, OCHA, CRT, UNICEF, APSELPA, ACHDR, </w:t>
      </w:r>
    </w:p>
    <w:p w:rsidR="006D2DFD" w:rsidRPr="008440A5" w:rsidRDefault="006D2DFD" w:rsidP="006D2DFD">
      <w:pPr>
        <w:jc w:val="both"/>
        <w:rPr>
          <w:rFonts w:ascii="Arial Narrow" w:hAnsi="Arial Narrow" w:cs="Arial"/>
          <w:lang w:val="en-US"/>
        </w:rPr>
      </w:pPr>
    </w:p>
    <w:p w:rsidR="00F45611" w:rsidRPr="008440A5" w:rsidRDefault="00F45611" w:rsidP="00F40B48">
      <w:pPr>
        <w:shd w:val="clear" w:color="auto" w:fill="943634" w:themeFill="accent2" w:themeFillShade="BF"/>
        <w:jc w:val="both"/>
        <w:rPr>
          <w:rFonts w:ascii="Arial Narrow" w:hAnsi="Arial Narrow" w:cs="Arial"/>
          <w:color w:val="FFFFFF" w:themeColor="background1"/>
        </w:rPr>
      </w:pPr>
      <w:r w:rsidRPr="008440A5">
        <w:rPr>
          <w:rFonts w:ascii="Arial Narrow" w:hAnsi="Arial Narrow" w:cs="Arial"/>
          <w:color w:val="FFFFFF" w:themeColor="background1"/>
        </w:rPr>
        <w:t>3. Agenda</w:t>
      </w:r>
      <w:r w:rsidR="00533BAD" w:rsidRPr="008440A5">
        <w:rPr>
          <w:rFonts w:ascii="Arial Narrow" w:hAnsi="Arial Narrow" w:cs="Arial"/>
          <w:color w:val="FFFFFF" w:themeColor="background1"/>
        </w:rPr>
        <w:t xml:space="preserve"> </w:t>
      </w:r>
    </w:p>
    <w:p w:rsidR="00533BAD" w:rsidRPr="008440A5" w:rsidRDefault="00533BAD" w:rsidP="00F40B48">
      <w:pPr>
        <w:spacing w:line="360" w:lineRule="auto"/>
        <w:jc w:val="both"/>
        <w:rPr>
          <w:rFonts w:ascii="Arial Narrow" w:hAnsi="Arial Narrow" w:cs="Arial"/>
        </w:rPr>
      </w:pPr>
    </w:p>
    <w:p w:rsidR="0057243F" w:rsidRPr="008440A5" w:rsidRDefault="009B6BF0" w:rsidP="009B6BF0">
      <w:pPr>
        <w:pStyle w:val="ListParagraph"/>
        <w:numPr>
          <w:ilvl w:val="0"/>
          <w:numId w:val="24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Priorisation des lieux ciblés</w:t>
      </w:r>
    </w:p>
    <w:p w:rsidR="009B6BF0" w:rsidRPr="008440A5" w:rsidRDefault="009B6BF0" w:rsidP="009B6BF0">
      <w:pPr>
        <w:pStyle w:val="ListParagraph"/>
        <w:numPr>
          <w:ilvl w:val="0"/>
          <w:numId w:val="24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Disponibilité en stock NFI des partenaires</w:t>
      </w:r>
    </w:p>
    <w:p w:rsidR="009B6BF0" w:rsidRPr="008440A5" w:rsidRDefault="009B6BF0" w:rsidP="009B6BF0">
      <w:pPr>
        <w:pStyle w:val="ListParagraph"/>
        <w:numPr>
          <w:ilvl w:val="0"/>
          <w:numId w:val="24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La question de l’accès (sécurité)</w:t>
      </w:r>
    </w:p>
    <w:p w:rsidR="009B6BF0" w:rsidRPr="008440A5" w:rsidRDefault="009B6BF0" w:rsidP="009B6BF0">
      <w:pPr>
        <w:pStyle w:val="ListParagraph"/>
        <w:numPr>
          <w:ilvl w:val="0"/>
          <w:numId w:val="24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La finalisation de la planification</w:t>
      </w:r>
    </w:p>
    <w:p w:rsidR="009B6BF0" w:rsidRPr="008440A5" w:rsidRDefault="009B6BF0" w:rsidP="009B6BF0">
      <w:pPr>
        <w:pStyle w:val="ListParagraph"/>
        <w:numPr>
          <w:ilvl w:val="0"/>
          <w:numId w:val="24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Divers …</w:t>
      </w:r>
    </w:p>
    <w:p w:rsidR="009B6BF0" w:rsidRPr="008440A5" w:rsidRDefault="009B6BF0" w:rsidP="009B6BF0">
      <w:pPr>
        <w:pStyle w:val="ListParagraph"/>
        <w:jc w:val="both"/>
        <w:rPr>
          <w:rFonts w:ascii="Arial Narrow" w:hAnsi="Arial Narrow" w:cs="Arial"/>
        </w:rPr>
      </w:pPr>
    </w:p>
    <w:p w:rsidR="00F45611" w:rsidRPr="008440A5" w:rsidRDefault="00F45611" w:rsidP="00F40B48">
      <w:pPr>
        <w:shd w:val="clear" w:color="auto" w:fill="943634" w:themeFill="accent2" w:themeFillShade="BF"/>
        <w:jc w:val="both"/>
        <w:rPr>
          <w:rFonts w:ascii="Arial Narrow" w:hAnsi="Arial Narrow" w:cs="Arial"/>
          <w:color w:val="FFFFFF" w:themeColor="background1"/>
        </w:rPr>
      </w:pPr>
      <w:r w:rsidRPr="008440A5">
        <w:rPr>
          <w:rFonts w:ascii="Arial Narrow" w:hAnsi="Arial Narrow" w:cs="Arial"/>
          <w:color w:val="FFFFFF" w:themeColor="background1"/>
        </w:rPr>
        <w:t>4. Discussion</w:t>
      </w:r>
      <w:r w:rsidR="00F733ED" w:rsidRPr="008440A5">
        <w:rPr>
          <w:rFonts w:ascii="Arial Narrow" w:hAnsi="Arial Narrow" w:cs="Arial"/>
          <w:color w:val="FFFFFF" w:themeColor="background1"/>
        </w:rPr>
        <w:t>s</w:t>
      </w:r>
    </w:p>
    <w:p w:rsidR="00116F93" w:rsidRPr="008440A5" w:rsidRDefault="00116F93" w:rsidP="00F40B48">
      <w:pPr>
        <w:jc w:val="both"/>
        <w:rPr>
          <w:rFonts w:ascii="Arial Narrow" w:hAnsi="Arial Narrow" w:cs="Arial"/>
        </w:rPr>
      </w:pPr>
    </w:p>
    <w:p w:rsidR="007234C9" w:rsidRPr="008440A5" w:rsidRDefault="00E379B9" w:rsidP="00F40B48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 xml:space="preserve">4.1. </w:t>
      </w:r>
      <w:r w:rsidR="009B6BF0" w:rsidRPr="008440A5">
        <w:rPr>
          <w:rFonts w:ascii="Arial Narrow" w:hAnsi="Arial Narrow" w:cs="Arial"/>
        </w:rPr>
        <w:t>Priorisation des lieux ciblés</w:t>
      </w:r>
    </w:p>
    <w:p w:rsidR="007234C9" w:rsidRPr="008440A5" w:rsidRDefault="007234C9" w:rsidP="00F40B48">
      <w:pPr>
        <w:jc w:val="both"/>
        <w:rPr>
          <w:rFonts w:ascii="Arial Narrow" w:hAnsi="Arial Narrow" w:cs="Arial"/>
        </w:rPr>
      </w:pPr>
    </w:p>
    <w:p w:rsidR="008C1CFE" w:rsidRPr="008440A5" w:rsidRDefault="009B6BF0" w:rsidP="00F40B48">
      <w:p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Deux critères ont été sélectionnés pour cet exercice de priorisation : marquer de sévérité selon la matrice et l’accessibilité du lieu. Les lieux sont priorisés dans l’ordre suivant :</w:t>
      </w:r>
    </w:p>
    <w:p w:rsidR="009B6BF0" w:rsidRPr="008440A5" w:rsidRDefault="009B6BF0" w:rsidP="00F40B48">
      <w:pPr>
        <w:jc w:val="both"/>
        <w:rPr>
          <w:rFonts w:ascii="Arial Narrow" w:hAnsi="Arial Narrow" w:cs="Arial"/>
        </w:rPr>
      </w:pPr>
    </w:p>
    <w:p w:rsidR="009B6BF0" w:rsidRPr="008440A5" w:rsidRDefault="00C76CB9" w:rsidP="009B6BF0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Kindjiria Gana</w:t>
      </w:r>
    </w:p>
    <w:p w:rsidR="00C76CB9" w:rsidRPr="008440A5" w:rsidRDefault="00C76CB9" w:rsidP="009B6BF0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Ngoréa 1</w:t>
      </w:r>
    </w:p>
    <w:p w:rsidR="00C76CB9" w:rsidRPr="008440A5" w:rsidRDefault="00C76CB9" w:rsidP="009B6BF0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Ngoréa 2</w:t>
      </w:r>
    </w:p>
    <w:p w:rsidR="00C76CB9" w:rsidRPr="008440A5" w:rsidRDefault="00C76CB9" w:rsidP="009B6BF0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Ngoréa 3</w:t>
      </w:r>
    </w:p>
    <w:p w:rsidR="00C76CB9" w:rsidRPr="008440A5" w:rsidRDefault="00C76CB9" w:rsidP="009B6BF0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Yakou</w:t>
      </w:r>
    </w:p>
    <w:p w:rsidR="00C76CB9" w:rsidRPr="008440A5" w:rsidRDefault="00C76CB9" w:rsidP="009B6BF0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Boma</w:t>
      </w:r>
    </w:p>
    <w:p w:rsidR="00C76CB9" w:rsidRPr="008440A5" w:rsidRDefault="00C76CB9" w:rsidP="009B6BF0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Kaiga Centre</w:t>
      </w:r>
    </w:p>
    <w:p w:rsidR="00C76CB9" w:rsidRPr="008440A5" w:rsidRDefault="00C76CB9" w:rsidP="009B6BF0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Diamerom</w:t>
      </w:r>
    </w:p>
    <w:p w:rsidR="00C76CB9" w:rsidRPr="008440A5" w:rsidRDefault="00C76CB9" w:rsidP="00C76CB9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 xml:space="preserve">Tinana </w:t>
      </w:r>
    </w:p>
    <w:p w:rsidR="009B6BF0" w:rsidRPr="008440A5" w:rsidRDefault="009B6BF0" w:rsidP="00F40B48">
      <w:pPr>
        <w:jc w:val="both"/>
        <w:rPr>
          <w:rFonts w:ascii="Arial Narrow" w:hAnsi="Arial Narrow" w:cs="Arial"/>
        </w:rPr>
      </w:pPr>
    </w:p>
    <w:p w:rsidR="00CE097F" w:rsidRPr="008440A5" w:rsidRDefault="00CE097F" w:rsidP="00CE097F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4.2</w:t>
      </w:r>
      <w:r w:rsidR="00B0749A" w:rsidRPr="008440A5">
        <w:rPr>
          <w:rFonts w:ascii="Arial Narrow" w:hAnsi="Arial Narrow" w:cs="Arial"/>
        </w:rPr>
        <w:t>.</w:t>
      </w:r>
      <w:r w:rsidR="00C76CB9" w:rsidRPr="008440A5">
        <w:rPr>
          <w:rFonts w:ascii="Arial Narrow" w:hAnsi="Arial Narrow" w:cs="Arial"/>
        </w:rPr>
        <w:t xml:space="preserve"> Disponibilité en stock NFI des Partenaires </w:t>
      </w:r>
    </w:p>
    <w:p w:rsidR="00CE097F" w:rsidRPr="008440A5" w:rsidRDefault="00CE097F" w:rsidP="00EE1D9A">
      <w:pPr>
        <w:jc w:val="both"/>
        <w:rPr>
          <w:rFonts w:ascii="Arial Narrow" w:hAnsi="Arial Narrow" w:cs="Arial"/>
        </w:rPr>
      </w:pPr>
    </w:p>
    <w:p w:rsidR="00406888" w:rsidRPr="008440A5" w:rsidRDefault="00406888" w:rsidP="00406888">
      <w:pPr>
        <w:pStyle w:val="ListParagraph"/>
        <w:numPr>
          <w:ilvl w:val="0"/>
          <w:numId w:val="26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 xml:space="preserve">Oxfam : </w:t>
      </w:r>
      <w:r w:rsidRPr="008440A5">
        <w:rPr>
          <w:rFonts w:ascii="Arial Narrow" w:hAnsi="Arial Narrow" w:cs="Arial"/>
        </w:rPr>
        <w:tab/>
        <w:t>300 Kits (il y manque des moustiquaires et des nattes)</w:t>
      </w:r>
    </w:p>
    <w:p w:rsidR="00406888" w:rsidRPr="008440A5" w:rsidRDefault="00406888" w:rsidP="00406888">
      <w:pPr>
        <w:pStyle w:val="ListParagraph"/>
        <w:jc w:val="both"/>
        <w:rPr>
          <w:rFonts w:ascii="Arial Narrow" w:hAnsi="Arial Narrow" w:cs="Arial"/>
        </w:rPr>
      </w:pPr>
    </w:p>
    <w:p w:rsidR="00406888" w:rsidRPr="008440A5" w:rsidRDefault="00406888" w:rsidP="00406888">
      <w:pPr>
        <w:pStyle w:val="ListParagraph"/>
        <w:numPr>
          <w:ilvl w:val="0"/>
          <w:numId w:val="26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HCR :</w:t>
      </w:r>
      <w:r w:rsidRPr="008440A5">
        <w:rPr>
          <w:rFonts w:ascii="Arial Narrow" w:hAnsi="Arial Narrow" w:cs="Arial"/>
        </w:rPr>
        <w:tab/>
      </w:r>
      <w:r w:rsidRPr="008440A5">
        <w:rPr>
          <w:rFonts w:ascii="Arial Narrow" w:hAnsi="Arial Narrow" w:cs="Arial"/>
        </w:rPr>
        <w:tab/>
        <w:t>60 Kits (il y manque des moustiquaires). Le HCR pourra par contre compléter d’autres Kits en nattes (plus de 5,000), matériels de cuisine (plus de 1,500) et en couvertures (environ 400)</w:t>
      </w:r>
    </w:p>
    <w:p w:rsidR="00406888" w:rsidRPr="008440A5" w:rsidRDefault="00406888" w:rsidP="00406888">
      <w:pPr>
        <w:pStyle w:val="ListParagraph"/>
        <w:rPr>
          <w:rFonts w:ascii="Arial Narrow" w:hAnsi="Arial Narrow" w:cs="Arial"/>
        </w:rPr>
      </w:pPr>
    </w:p>
    <w:p w:rsidR="00406888" w:rsidRPr="008440A5" w:rsidRDefault="00406888" w:rsidP="00406888">
      <w:pPr>
        <w:pStyle w:val="ListParagraph"/>
        <w:numPr>
          <w:ilvl w:val="0"/>
          <w:numId w:val="26"/>
        </w:numP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 xml:space="preserve">Help Chad : </w:t>
      </w:r>
      <w:r w:rsidRPr="008440A5">
        <w:rPr>
          <w:rFonts w:ascii="Arial Narrow" w:hAnsi="Arial Narrow" w:cs="Arial"/>
        </w:rPr>
        <w:tab/>
      </w:r>
      <w:r w:rsidR="008440A5" w:rsidRPr="008440A5">
        <w:rPr>
          <w:rFonts w:ascii="Arial Narrow" w:hAnsi="Arial Narrow"/>
        </w:rPr>
        <w:t>300 kits de 7 items : gobelets 1 l, bassines 30 l, 300 couvertures, voiles, bidons 20 l, nattes de 2 places, 3000 boules de savons de 200 gr. Ils disposent également de 200 saccanes et de 200 moustiquaires.</w:t>
      </w:r>
    </w:p>
    <w:p w:rsidR="008440A5" w:rsidRPr="008440A5" w:rsidRDefault="008440A5" w:rsidP="008440A5">
      <w:pPr>
        <w:pStyle w:val="ListParagraph"/>
        <w:rPr>
          <w:rFonts w:ascii="Arial Narrow" w:hAnsi="Arial Narrow" w:cs="Arial"/>
        </w:rPr>
      </w:pPr>
    </w:p>
    <w:p w:rsidR="008440A5" w:rsidRDefault="008440A5" w:rsidP="008440A5">
      <w:pPr>
        <w:pStyle w:val="ListParagraph"/>
        <w:numPr>
          <w:ilvl w:val="0"/>
          <w:numId w:val="26"/>
        </w:numPr>
        <w:rPr>
          <w:rFonts w:ascii="Arial Narrow" w:hAnsi="Arial Narrow"/>
        </w:rPr>
      </w:pPr>
      <w:r w:rsidRPr="008440A5">
        <w:rPr>
          <w:rFonts w:ascii="Arial Narrow" w:hAnsi="Arial Narrow" w:cs="Arial"/>
        </w:rPr>
        <w:t xml:space="preserve">ACHDR : </w:t>
      </w:r>
      <w:r w:rsidRPr="008440A5">
        <w:rPr>
          <w:rFonts w:ascii="Arial Narrow" w:hAnsi="Arial Narrow" w:cs="Arial"/>
        </w:rPr>
        <w:tab/>
      </w:r>
      <w:r w:rsidRPr="008440A5">
        <w:rPr>
          <w:rFonts w:ascii="Arial Narrow" w:hAnsi="Arial Narrow"/>
        </w:rPr>
        <w:t>Sceau pour 100 ménages, Nattes pour 25 ménages, Sakanes pour 250 ménages, Sa</w:t>
      </w:r>
      <w:r>
        <w:rPr>
          <w:rFonts w:ascii="Arial Narrow" w:hAnsi="Arial Narrow"/>
        </w:rPr>
        <w:t xml:space="preserve">von pour </w:t>
      </w:r>
      <w:r w:rsidRPr="008440A5">
        <w:rPr>
          <w:rFonts w:ascii="Arial Narrow" w:hAnsi="Arial Narrow"/>
        </w:rPr>
        <w:t>500 ménages, Gobelets pour 1000 ménages</w:t>
      </w:r>
      <w:r>
        <w:rPr>
          <w:rFonts w:ascii="Arial Narrow" w:hAnsi="Arial Narrow"/>
        </w:rPr>
        <w:t xml:space="preserve">. </w:t>
      </w:r>
    </w:p>
    <w:p w:rsidR="008440A5" w:rsidRPr="008440A5" w:rsidRDefault="008440A5" w:rsidP="008440A5">
      <w:pPr>
        <w:pStyle w:val="ListParagraph"/>
        <w:rPr>
          <w:rFonts w:ascii="Arial Narrow" w:hAnsi="Arial Narrow"/>
        </w:rPr>
      </w:pPr>
    </w:p>
    <w:p w:rsidR="008440A5" w:rsidRDefault="008440A5" w:rsidP="00D07F0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On peut constituer 250 kits non-complets avec les items d’ACHDR. Les items restants (savons, gobelets et sceaux) pourraient compléter d’autres kits, et on peut inversement </w:t>
      </w:r>
      <w:r w:rsidR="00D07F01">
        <w:rPr>
          <w:rFonts w:ascii="Arial Narrow" w:hAnsi="Arial Narrow"/>
        </w:rPr>
        <w:t>compléter</w:t>
      </w:r>
      <w:r>
        <w:rPr>
          <w:rFonts w:ascii="Arial Narrow" w:hAnsi="Arial Narrow"/>
        </w:rPr>
        <w:t xml:space="preserve"> les kits ACHDR avec des nattes</w:t>
      </w:r>
      <w:r w:rsidR="00D07F01">
        <w:rPr>
          <w:rFonts w:ascii="Arial Narrow" w:hAnsi="Arial Narrow"/>
        </w:rPr>
        <w:t xml:space="preserve"> et des kits de cuisine. </w:t>
      </w:r>
    </w:p>
    <w:p w:rsidR="00D07F01" w:rsidRPr="008440A5" w:rsidRDefault="00D07F01" w:rsidP="008440A5">
      <w:pPr>
        <w:rPr>
          <w:rFonts w:ascii="Arial Narrow" w:hAnsi="Arial Narrow"/>
        </w:rPr>
      </w:pPr>
    </w:p>
    <w:p w:rsidR="00980872" w:rsidRDefault="00D07F01" w:rsidP="0098087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En résumé, présentement, on dispose grosso modo de </w:t>
      </w:r>
      <w:r>
        <w:rPr>
          <w:rFonts w:ascii="Arial Narrow" w:hAnsi="Arial Narrow" w:cs="Arial"/>
          <w:b/>
        </w:rPr>
        <w:t>910 Kits</w:t>
      </w:r>
      <w:r>
        <w:rPr>
          <w:rFonts w:ascii="Arial Narrow" w:hAnsi="Arial Narrow" w:cs="Arial"/>
        </w:rPr>
        <w:t xml:space="preserve">. Ils ne répondront pas tout au standard, mais on ne sera pas trop loin non plus ! </w:t>
      </w:r>
    </w:p>
    <w:p w:rsidR="00D07F01" w:rsidRDefault="00D07F01" w:rsidP="00980872">
      <w:pPr>
        <w:jc w:val="both"/>
        <w:rPr>
          <w:rFonts w:ascii="Arial Narrow" w:hAnsi="Arial Narrow" w:cs="Arial"/>
        </w:rPr>
      </w:pPr>
    </w:p>
    <w:p w:rsidR="00D07F01" w:rsidRDefault="00D07F01" w:rsidP="00980872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Le gap est maintenant de : 4,171 – 910 = </w:t>
      </w:r>
      <w:r w:rsidRPr="00D07F01">
        <w:rPr>
          <w:rFonts w:ascii="Arial Narrow" w:hAnsi="Arial Narrow" w:cs="Arial"/>
          <w:b/>
        </w:rPr>
        <w:t>3,261</w:t>
      </w:r>
      <w:r>
        <w:rPr>
          <w:rFonts w:ascii="Arial Narrow" w:hAnsi="Arial Narrow" w:cs="Arial"/>
          <w:b/>
        </w:rPr>
        <w:t xml:space="preserve"> Kits</w:t>
      </w:r>
    </w:p>
    <w:p w:rsidR="00D07F01" w:rsidRDefault="00D07F01" w:rsidP="00980872">
      <w:pPr>
        <w:jc w:val="both"/>
        <w:rPr>
          <w:rFonts w:ascii="Arial Narrow" w:hAnsi="Arial Narrow" w:cs="Arial"/>
          <w:b/>
        </w:rPr>
      </w:pPr>
    </w:p>
    <w:p w:rsidR="00D07F01" w:rsidRPr="00D07F01" w:rsidRDefault="00D07F01" w:rsidP="0098087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Les Partenaires ACF, OIM et UNICEF vont communiquer sous peu s’ils peuvent y contribuer et à quel point. Un dernier calcul sera possiblement fait avant de passer au choix final des lieux (sites, villages) à assister. </w:t>
      </w:r>
    </w:p>
    <w:p w:rsidR="00D07F01" w:rsidRPr="008440A5" w:rsidRDefault="00D07F01" w:rsidP="00980872">
      <w:pPr>
        <w:jc w:val="both"/>
        <w:rPr>
          <w:rFonts w:ascii="Arial Narrow" w:hAnsi="Arial Narrow" w:cs="Arial"/>
        </w:rPr>
      </w:pPr>
    </w:p>
    <w:p w:rsidR="00980872" w:rsidRPr="008440A5" w:rsidRDefault="004324AD" w:rsidP="00980872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4.3</w:t>
      </w:r>
      <w:r w:rsidR="00B0749A" w:rsidRPr="008440A5">
        <w:rPr>
          <w:rFonts w:ascii="Arial Narrow" w:hAnsi="Arial Narrow" w:cs="Arial"/>
        </w:rPr>
        <w:t>.</w:t>
      </w:r>
      <w:r w:rsidR="00D07F01">
        <w:rPr>
          <w:rFonts w:ascii="Arial Narrow" w:hAnsi="Arial Narrow" w:cs="Arial"/>
        </w:rPr>
        <w:t xml:space="preserve"> Accès à la zone </w:t>
      </w:r>
    </w:p>
    <w:p w:rsidR="003F6BB1" w:rsidRDefault="003F6BB1" w:rsidP="003F6BB1">
      <w:pPr>
        <w:jc w:val="both"/>
        <w:rPr>
          <w:rFonts w:ascii="Arial Narrow" w:hAnsi="Arial Narrow"/>
        </w:rPr>
      </w:pPr>
    </w:p>
    <w:p w:rsidR="003F6BB1" w:rsidRDefault="003F6BB1" w:rsidP="003F6B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Quoique fortement militarisée, il faut, selon les procédures sécuritaires en vigueur, une escorte pour se rendre dans la zone</w:t>
      </w:r>
      <w:r w:rsidRPr="003F6BB1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Les militaires exigent qu’ils soient au moins dix (10) dans une escorte, de manière à mieux garantir la sécurité des missions.</w:t>
      </w:r>
    </w:p>
    <w:p w:rsidR="003F6BB1" w:rsidRDefault="003F6BB1" w:rsidP="003F6BB1">
      <w:pPr>
        <w:jc w:val="both"/>
        <w:rPr>
          <w:rFonts w:ascii="Arial Narrow" w:hAnsi="Arial Narrow"/>
        </w:rPr>
      </w:pPr>
    </w:p>
    <w:p w:rsidR="003F6BB1" w:rsidRPr="003F6BB1" w:rsidRDefault="003F6BB1" w:rsidP="003F6BB1">
      <w:pPr>
        <w:jc w:val="both"/>
        <w:rPr>
          <w:rFonts w:ascii="Arial Narrow" w:hAnsi="Arial Narrow"/>
        </w:rPr>
      </w:pPr>
      <w:r w:rsidRPr="003F6BB1">
        <w:rPr>
          <w:rFonts w:ascii="Arial Narrow" w:hAnsi="Arial Narrow"/>
        </w:rPr>
        <w:t xml:space="preserve">Selon les autorités administratives, la zone est fortement sécurisée. </w:t>
      </w:r>
      <w:r>
        <w:rPr>
          <w:rFonts w:ascii="Arial Narrow" w:hAnsi="Arial Narrow"/>
        </w:rPr>
        <w:t xml:space="preserve">Mais il faudra en discuter </w:t>
      </w:r>
      <w:r w:rsidRPr="003F6BB1">
        <w:rPr>
          <w:rFonts w:ascii="Arial Narrow" w:hAnsi="Arial Narrow"/>
        </w:rPr>
        <w:t>avec l</w:t>
      </w:r>
      <w:r>
        <w:rPr>
          <w:rFonts w:ascii="Arial Narrow" w:hAnsi="Arial Narrow"/>
        </w:rPr>
        <w:t xml:space="preserve">e Gouverneur avant </w:t>
      </w:r>
      <w:r w:rsidRPr="003F6BB1">
        <w:rPr>
          <w:rFonts w:ascii="Arial Narrow" w:hAnsi="Arial Narrow"/>
        </w:rPr>
        <w:t xml:space="preserve">de partir là-bas pour avoir une garantie de sécurité. </w:t>
      </w:r>
    </w:p>
    <w:p w:rsidR="00C20B36" w:rsidRPr="008440A5" w:rsidRDefault="00C20B36" w:rsidP="00980872">
      <w:pPr>
        <w:jc w:val="both"/>
        <w:rPr>
          <w:rFonts w:ascii="Arial Narrow" w:hAnsi="Arial Narrow" w:cs="Arial"/>
        </w:rPr>
      </w:pPr>
    </w:p>
    <w:p w:rsidR="003D1A9D" w:rsidRPr="008440A5" w:rsidRDefault="004324AD" w:rsidP="003D1A9D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4.4</w:t>
      </w:r>
      <w:r w:rsidR="00B0749A" w:rsidRPr="008440A5">
        <w:rPr>
          <w:rFonts w:ascii="Arial Narrow" w:hAnsi="Arial Narrow" w:cs="Arial"/>
        </w:rPr>
        <w:t>.</w:t>
      </w:r>
      <w:r w:rsidR="003F6BB1">
        <w:rPr>
          <w:rFonts w:ascii="Arial Narrow" w:hAnsi="Arial Narrow" w:cs="Arial"/>
        </w:rPr>
        <w:t xml:space="preserve"> Planification de la mission</w:t>
      </w:r>
    </w:p>
    <w:p w:rsidR="003F6BB1" w:rsidRDefault="003F6BB1" w:rsidP="003F6BB1">
      <w:pPr>
        <w:pStyle w:val="ListParagraph"/>
        <w:jc w:val="both"/>
        <w:rPr>
          <w:rFonts w:ascii="Arial Narrow" w:hAnsi="Arial Narrow" w:cs="Arial"/>
        </w:rPr>
      </w:pPr>
    </w:p>
    <w:p w:rsidR="003D1A9D" w:rsidRDefault="003F6BB1" w:rsidP="003F6BB1">
      <w:pPr>
        <w:pStyle w:val="ListParagraph"/>
        <w:numPr>
          <w:ilvl w:val="0"/>
          <w:numId w:val="27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Ressources humaines :</w:t>
      </w:r>
    </w:p>
    <w:p w:rsidR="00F259E1" w:rsidRDefault="00F259E1" w:rsidP="00F259E1">
      <w:pPr>
        <w:pStyle w:val="ListParagraph"/>
        <w:jc w:val="both"/>
        <w:rPr>
          <w:rFonts w:ascii="Arial Narrow" w:hAnsi="Arial Narrow" w:cs="Arial"/>
        </w:rPr>
      </w:pPr>
    </w:p>
    <w:p w:rsidR="003F6BB1" w:rsidRDefault="003F6BB1" w:rsidP="003F6BB1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Help Chad :</w:t>
      </w:r>
      <w:r w:rsidR="00F259E1">
        <w:rPr>
          <w:rFonts w:ascii="Arial Narrow" w:hAnsi="Arial Narrow" w:cs="Arial"/>
        </w:rPr>
        <w:t xml:space="preserve"> </w:t>
      </w:r>
      <w:r w:rsidR="00F259E1">
        <w:rPr>
          <w:rFonts w:ascii="Arial Narrow" w:hAnsi="Arial Narrow" w:cs="Arial"/>
        </w:rPr>
        <w:tab/>
      </w:r>
      <w:r w:rsidR="00F259E1">
        <w:rPr>
          <w:rFonts w:ascii="Arial Narrow" w:hAnsi="Arial Narrow" w:cs="Arial"/>
        </w:rPr>
        <w:tab/>
        <w:t xml:space="preserve">4 </w:t>
      </w:r>
      <w:r>
        <w:rPr>
          <w:rFonts w:ascii="Arial Narrow" w:hAnsi="Arial Narrow" w:cs="Arial"/>
        </w:rPr>
        <w:t>staffs dont 2 pour l’intervention</w:t>
      </w:r>
    </w:p>
    <w:p w:rsidR="003F6BB1" w:rsidRDefault="003F6BB1" w:rsidP="003F6BB1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APSELPA :</w:t>
      </w:r>
      <w:r w:rsidR="00F259E1">
        <w:rPr>
          <w:rFonts w:ascii="Arial Narrow" w:hAnsi="Arial Narrow" w:cs="Arial"/>
        </w:rPr>
        <w:t xml:space="preserve"> </w:t>
      </w:r>
      <w:r w:rsidR="00F259E1">
        <w:rPr>
          <w:rFonts w:ascii="Arial Narrow" w:hAnsi="Arial Narrow" w:cs="Arial"/>
        </w:rPr>
        <w:tab/>
      </w:r>
      <w:r w:rsidR="00F259E1">
        <w:rPr>
          <w:rFonts w:ascii="Arial Narrow" w:hAnsi="Arial Narrow" w:cs="Arial"/>
        </w:rPr>
        <w:tab/>
        <w:t xml:space="preserve">2 </w:t>
      </w:r>
      <w:r>
        <w:rPr>
          <w:rFonts w:ascii="Arial Narrow" w:hAnsi="Arial Narrow" w:cs="Arial"/>
        </w:rPr>
        <w:t>staffs</w:t>
      </w:r>
    </w:p>
    <w:p w:rsidR="003F6BB1" w:rsidRDefault="003F6BB1" w:rsidP="003F6BB1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CRT :</w:t>
      </w:r>
      <w:r w:rsidR="00F259E1">
        <w:rPr>
          <w:rFonts w:ascii="Arial Narrow" w:hAnsi="Arial Narrow" w:cs="Arial"/>
        </w:rPr>
        <w:t xml:space="preserve"> </w:t>
      </w:r>
      <w:r w:rsidR="00F259E1">
        <w:rPr>
          <w:rFonts w:ascii="Arial Narrow" w:hAnsi="Arial Narrow" w:cs="Arial"/>
        </w:rPr>
        <w:tab/>
      </w:r>
      <w:r w:rsidR="00F259E1">
        <w:rPr>
          <w:rFonts w:ascii="Arial Narrow" w:hAnsi="Arial Narrow" w:cs="Arial"/>
        </w:rPr>
        <w:tab/>
      </w:r>
      <w:r w:rsidR="00F259E1">
        <w:rPr>
          <w:rFonts w:ascii="Arial Narrow" w:hAnsi="Arial Narrow" w:cs="Arial"/>
        </w:rPr>
        <w:tab/>
        <w:t xml:space="preserve">4 </w:t>
      </w:r>
      <w:r>
        <w:rPr>
          <w:rFonts w:ascii="Arial Narrow" w:hAnsi="Arial Narrow" w:cs="Arial"/>
        </w:rPr>
        <w:t>staffs</w:t>
      </w:r>
    </w:p>
    <w:p w:rsidR="003F6BB1" w:rsidRDefault="00F259E1" w:rsidP="003F6BB1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ACHDR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3 staffs</w:t>
      </w:r>
    </w:p>
    <w:p w:rsidR="00F259E1" w:rsidRDefault="00F259E1" w:rsidP="003F6BB1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AHDSS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2 staffs</w:t>
      </w:r>
    </w:p>
    <w:p w:rsidR="00F259E1" w:rsidRDefault="00F259E1" w:rsidP="003F6BB1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ACF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?????</w:t>
      </w:r>
    </w:p>
    <w:p w:rsidR="00F259E1" w:rsidRDefault="00F259E1" w:rsidP="003F6BB1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OIM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?????</w:t>
      </w:r>
    </w:p>
    <w:p w:rsidR="00F259E1" w:rsidRDefault="00F259E1" w:rsidP="003F6BB1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HCR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 staff</w:t>
      </w:r>
    </w:p>
    <w:p w:rsidR="00F259E1" w:rsidRDefault="00F259E1" w:rsidP="003F6BB1">
      <w:pPr>
        <w:pStyle w:val="ListParagraph"/>
        <w:numPr>
          <w:ilvl w:val="0"/>
          <w:numId w:val="2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UNICEF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?????</w:t>
      </w:r>
    </w:p>
    <w:p w:rsidR="00F259E1" w:rsidRDefault="00F259E1" w:rsidP="00F259E1">
      <w:pPr>
        <w:jc w:val="both"/>
        <w:rPr>
          <w:rFonts w:ascii="Arial Narrow" w:hAnsi="Arial Narrow" w:cs="Arial"/>
        </w:rPr>
      </w:pPr>
    </w:p>
    <w:p w:rsidR="00F259E1" w:rsidRDefault="00F259E1" w:rsidP="00F259E1">
      <w:pPr>
        <w:pStyle w:val="ListParagraph"/>
        <w:numPr>
          <w:ilvl w:val="0"/>
          <w:numId w:val="27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Transport NFI :</w:t>
      </w:r>
    </w:p>
    <w:p w:rsidR="00F259E1" w:rsidRDefault="00F259E1" w:rsidP="00F259E1">
      <w:pPr>
        <w:pStyle w:val="ListParagraph"/>
        <w:jc w:val="both"/>
        <w:rPr>
          <w:rFonts w:ascii="Arial Narrow" w:hAnsi="Arial Narrow" w:cs="Arial"/>
        </w:rPr>
      </w:pPr>
    </w:p>
    <w:p w:rsidR="00F259E1" w:rsidRDefault="00F259E1" w:rsidP="00F259E1">
      <w:pPr>
        <w:pStyle w:val="ListParagraph"/>
        <w:numPr>
          <w:ilvl w:val="0"/>
          <w:numId w:val="29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Les NFI seront transportés par le camion AIRD. Après discussion avec AIRD sur la capacité du camion, d’autres moyens seront éventuellement envisagés.</w:t>
      </w:r>
    </w:p>
    <w:p w:rsidR="00F259E1" w:rsidRDefault="00F259E1" w:rsidP="00F259E1">
      <w:pPr>
        <w:jc w:val="both"/>
        <w:rPr>
          <w:rFonts w:ascii="Arial Narrow" w:hAnsi="Arial Narrow" w:cs="Arial"/>
        </w:rPr>
      </w:pPr>
    </w:p>
    <w:p w:rsidR="00F259E1" w:rsidRDefault="00F259E1" w:rsidP="00F259E1">
      <w:pPr>
        <w:pStyle w:val="ListParagraph"/>
        <w:numPr>
          <w:ilvl w:val="0"/>
          <w:numId w:val="27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Transport Staff :</w:t>
      </w:r>
    </w:p>
    <w:p w:rsidR="00F259E1" w:rsidRDefault="00F259E1" w:rsidP="00F259E1">
      <w:pPr>
        <w:pStyle w:val="ListParagraph"/>
        <w:jc w:val="both"/>
        <w:rPr>
          <w:rFonts w:ascii="Arial Narrow" w:hAnsi="Arial Narrow" w:cs="Arial"/>
        </w:rPr>
      </w:pPr>
    </w:p>
    <w:p w:rsidR="00F259E1" w:rsidRDefault="00F259E1" w:rsidP="00F259E1">
      <w:pPr>
        <w:pStyle w:val="ListParagraph"/>
        <w:numPr>
          <w:ilvl w:val="0"/>
          <w:numId w:val="3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HCR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 Mobile</w:t>
      </w:r>
    </w:p>
    <w:p w:rsidR="00F259E1" w:rsidRDefault="00F259E1" w:rsidP="00F259E1">
      <w:pPr>
        <w:pStyle w:val="ListParagraph"/>
        <w:numPr>
          <w:ilvl w:val="0"/>
          <w:numId w:val="3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OCHA : </w:t>
      </w:r>
      <w:r>
        <w:rPr>
          <w:rFonts w:ascii="Arial Narrow" w:hAnsi="Arial Narrow" w:cs="Arial"/>
        </w:rPr>
        <w:tab/>
        <w:t>1 Mobile</w:t>
      </w:r>
    </w:p>
    <w:p w:rsidR="00F259E1" w:rsidRDefault="00F259E1" w:rsidP="00F259E1">
      <w:pPr>
        <w:pStyle w:val="ListParagraph"/>
        <w:numPr>
          <w:ilvl w:val="0"/>
          <w:numId w:val="3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Care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 Mobile</w:t>
      </w:r>
    </w:p>
    <w:p w:rsidR="00F259E1" w:rsidRDefault="00F259E1" w:rsidP="00F259E1">
      <w:pPr>
        <w:pStyle w:val="ListParagraph"/>
        <w:numPr>
          <w:ilvl w:val="0"/>
          <w:numId w:val="3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Help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1 Mobile</w:t>
      </w:r>
    </w:p>
    <w:p w:rsidR="00F259E1" w:rsidRDefault="00F259E1" w:rsidP="00F259E1">
      <w:pPr>
        <w:pStyle w:val="ListParagraph"/>
        <w:numPr>
          <w:ilvl w:val="0"/>
          <w:numId w:val="3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CRT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??</w:t>
      </w:r>
    </w:p>
    <w:p w:rsidR="00F259E1" w:rsidRDefault="00F259E1" w:rsidP="00F259E1">
      <w:pPr>
        <w:pStyle w:val="ListParagraph"/>
        <w:numPr>
          <w:ilvl w:val="0"/>
          <w:numId w:val="3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ACF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??</w:t>
      </w:r>
    </w:p>
    <w:p w:rsidR="00F259E1" w:rsidRDefault="00F259E1" w:rsidP="00F259E1">
      <w:pPr>
        <w:pStyle w:val="ListParagraph"/>
        <w:numPr>
          <w:ilvl w:val="0"/>
          <w:numId w:val="3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OIM 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??</w:t>
      </w:r>
    </w:p>
    <w:p w:rsidR="00F259E1" w:rsidRDefault="00F259E1" w:rsidP="00F259E1">
      <w:pPr>
        <w:jc w:val="both"/>
        <w:rPr>
          <w:rFonts w:ascii="Arial Narrow" w:hAnsi="Arial Narrow" w:cs="Arial"/>
        </w:rPr>
      </w:pPr>
    </w:p>
    <w:p w:rsidR="00F259E1" w:rsidRDefault="00A215A6" w:rsidP="00F259E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Il est demandé à tous de bien s’assurer que les véhicules ont suffisamment de carburant pour la durée de la mission avant de partir. </w:t>
      </w:r>
    </w:p>
    <w:p w:rsidR="00A215A6" w:rsidRDefault="00A215A6" w:rsidP="00F259E1">
      <w:pPr>
        <w:jc w:val="both"/>
        <w:rPr>
          <w:rFonts w:ascii="Arial Narrow" w:hAnsi="Arial Narrow" w:cs="Arial"/>
        </w:rPr>
      </w:pPr>
    </w:p>
    <w:p w:rsidR="00A215A6" w:rsidRPr="000D407A" w:rsidRDefault="00A215A6" w:rsidP="00A215A6">
      <w:pPr>
        <w:pStyle w:val="ListParagraph"/>
        <w:numPr>
          <w:ilvl w:val="0"/>
          <w:numId w:val="27"/>
        </w:numPr>
        <w:jc w:val="both"/>
        <w:rPr>
          <w:rFonts w:ascii="Arial Narrow" w:hAnsi="Arial Narrow" w:cs="Arial"/>
          <w:highlight w:val="yellow"/>
        </w:rPr>
      </w:pPr>
      <w:r w:rsidRPr="000D407A">
        <w:rPr>
          <w:rFonts w:ascii="Arial Narrow" w:hAnsi="Arial Narrow" w:cs="Arial"/>
          <w:highlight w:val="yellow"/>
        </w:rPr>
        <w:t xml:space="preserve">Coupons pour le fixing : le HCR se chargera d’apporter des bracelets pour le ciblage des bénéficiaires.  </w:t>
      </w:r>
    </w:p>
    <w:p w:rsidR="00A215A6" w:rsidRDefault="00A215A6" w:rsidP="00A215A6">
      <w:pPr>
        <w:pStyle w:val="ListParagraph"/>
        <w:jc w:val="both"/>
        <w:rPr>
          <w:rFonts w:ascii="Arial Narrow" w:hAnsi="Arial Narrow" w:cs="Arial"/>
        </w:rPr>
      </w:pPr>
      <w:bookmarkStart w:id="0" w:name="_GoBack"/>
      <w:bookmarkEnd w:id="0"/>
    </w:p>
    <w:p w:rsidR="00A215A6" w:rsidRDefault="00A215A6" w:rsidP="00A215A6">
      <w:pPr>
        <w:pStyle w:val="ListParagraph"/>
        <w:numPr>
          <w:ilvl w:val="0"/>
          <w:numId w:val="27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Logement : OCHA se charge d’organiser la question du logement à Kiskawa. En plus de la base d’ACF là-bas, les Représentants du Chef de Canton et du Gouverneur seront contactés à ce sujet par OCHA. </w:t>
      </w:r>
    </w:p>
    <w:p w:rsidR="00A215A6" w:rsidRPr="00A215A6" w:rsidRDefault="00A215A6" w:rsidP="00A215A6">
      <w:pPr>
        <w:ind w:left="360"/>
        <w:jc w:val="both"/>
        <w:rPr>
          <w:rFonts w:ascii="Arial Narrow" w:hAnsi="Arial Narrow" w:cs="Arial"/>
        </w:rPr>
      </w:pPr>
    </w:p>
    <w:p w:rsidR="00A215A6" w:rsidRDefault="00A215A6" w:rsidP="00A215A6">
      <w:pPr>
        <w:pStyle w:val="ListParagraph"/>
        <w:numPr>
          <w:ilvl w:val="0"/>
          <w:numId w:val="27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Date et TdRs de la mission : la date du 05 au 08 Novembre 2018 est choisie pour la mission. Les TdRs vont être définis par OCHA vu qu’il s’agira d’une mission inter-Agences.  </w:t>
      </w:r>
    </w:p>
    <w:p w:rsidR="00A215A6" w:rsidRPr="00A215A6" w:rsidRDefault="00A215A6" w:rsidP="00A215A6">
      <w:pPr>
        <w:pStyle w:val="ListParagraph"/>
        <w:ind w:left="1440"/>
        <w:jc w:val="both"/>
        <w:rPr>
          <w:rFonts w:ascii="Arial Narrow" w:hAnsi="Arial Narrow" w:cs="Arial"/>
        </w:rPr>
      </w:pPr>
    </w:p>
    <w:p w:rsidR="003F6BB1" w:rsidRPr="008440A5" w:rsidRDefault="003F6BB1" w:rsidP="003D1A9D">
      <w:pPr>
        <w:jc w:val="both"/>
        <w:rPr>
          <w:rFonts w:ascii="Arial Narrow" w:hAnsi="Arial Narrow" w:cs="Arial"/>
        </w:rPr>
      </w:pPr>
    </w:p>
    <w:p w:rsidR="00947689" w:rsidRPr="008440A5" w:rsidRDefault="004324AD" w:rsidP="00947689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4.5</w:t>
      </w:r>
      <w:r w:rsidR="00947689" w:rsidRPr="008440A5">
        <w:rPr>
          <w:rFonts w:ascii="Arial Narrow" w:hAnsi="Arial Narrow" w:cs="Arial"/>
        </w:rPr>
        <w:t>. Divers</w:t>
      </w:r>
      <w:r w:rsidR="00A215A6">
        <w:rPr>
          <w:rFonts w:ascii="Arial Narrow" w:hAnsi="Arial Narrow" w:cs="Arial"/>
        </w:rPr>
        <w:t xml:space="preserve"> …</w:t>
      </w:r>
    </w:p>
    <w:p w:rsidR="00A215A6" w:rsidRPr="00A215A6" w:rsidRDefault="00A215A6" w:rsidP="00A215A6">
      <w:pPr>
        <w:pStyle w:val="ListParagraph"/>
        <w:jc w:val="both"/>
        <w:rPr>
          <w:rFonts w:ascii="Arial Narrow" w:hAnsi="Arial Narrow" w:cs="Arial"/>
        </w:rPr>
      </w:pPr>
    </w:p>
    <w:p w:rsidR="007234C9" w:rsidRPr="00CD0B43" w:rsidRDefault="00A215A6" w:rsidP="00A215A6">
      <w:pPr>
        <w:pStyle w:val="ListParagraph"/>
        <w:numPr>
          <w:ilvl w:val="0"/>
          <w:numId w:val="32"/>
        </w:numPr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Pr="00A215A6">
        <w:rPr>
          <w:rFonts w:ascii="Arial Narrow" w:hAnsi="Arial Narrow"/>
        </w:rPr>
        <w:t>n ne trouve pas tout sur place</w:t>
      </w:r>
      <w:r>
        <w:rPr>
          <w:rFonts w:ascii="Arial Narrow" w:hAnsi="Arial Narrow"/>
        </w:rPr>
        <w:t xml:space="preserve"> à Kiskawa et à Kaiga</w:t>
      </w:r>
      <w:r w:rsidR="00CD0B43">
        <w:rPr>
          <w:rFonts w:ascii="Arial Narrow" w:hAnsi="Arial Narrow"/>
        </w:rPr>
        <w:t xml:space="preserve">. Il faudra donc </w:t>
      </w:r>
      <w:r w:rsidRPr="00A215A6">
        <w:rPr>
          <w:rFonts w:ascii="Arial Narrow" w:hAnsi="Arial Narrow"/>
        </w:rPr>
        <w:t>cotise</w:t>
      </w:r>
      <w:r w:rsidR="00CD0B43">
        <w:rPr>
          <w:rFonts w:ascii="Arial Narrow" w:hAnsi="Arial Narrow"/>
        </w:rPr>
        <w:t>r pour se préparer à manger. Il faut aussi penser à prendre</w:t>
      </w:r>
      <w:r w:rsidRPr="00A215A6">
        <w:rPr>
          <w:rFonts w:ascii="Arial Narrow" w:hAnsi="Arial Narrow"/>
        </w:rPr>
        <w:t xml:space="preserve"> de l’eau, </w:t>
      </w:r>
      <w:r w:rsidR="00CD0B43">
        <w:rPr>
          <w:rFonts w:ascii="Arial Narrow" w:hAnsi="Arial Narrow"/>
        </w:rPr>
        <w:t xml:space="preserve">de </w:t>
      </w:r>
      <w:r w:rsidRPr="00A215A6">
        <w:rPr>
          <w:rFonts w:ascii="Arial Narrow" w:hAnsi="Arial Narrow"/>
        </w:rPr>
        <w:t>médica</w:t>
      </w:r>
      <w:r w:rsidR="00CD0B43">
        <w:rPr>
          <w:rFonts w:ascii="Arial Narrow" w:hAnsi="Arial Narrow"/>
        </w:rPr>
        <w:t xml:space="preserve">ments essentiels, etc. </w:t>
      </w:r>
      <w:r w:rsidRPr="00A215A6">
        <w:rPr>
          <w:rFonts w:ascii="Arial Narrow" w:hAnsi="Arial Narrow"/>
        </w:rPr>
        <w:t>…</w:t>
      </w:r>
    </w:p>
    <w:p w:rsidR="00CD0B43" w:rsidRPr="00CD0B43" w:rsidRDefault="00CD0B43" w:rsidP="00CD0B43">
      <w:pPr>
        <w:pStyle w:val="ListParagraph"/>
        <w:jc w:val="both"/>
        <w:rPr>
          <w:rFonts w:ascii="Arial Narrow" w:hAnsi="Arial Narrow" w:cs="Arial"/>
        </w:rPr>
      </w:pPr>
    </w:p>
    <w:p w:rsidR="00CD0B43" w:rsidRPr="00CD0B43" w:rsidRDefault="00CD0B43" w:rsidP="00A215A6">
      <w:pPr>
        <w:pStyle w:val="ListParagraph"/>
        <w:numPr>
          <w:ilvl w:val="0"/>
          <w:numId w:val="32"/>
        </w:numPr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Les frais pour escorte à communiquer par OCHA</w:t>
      </w:r>
    </w:p>
    <w:p w:rsidR="00CD0B43" w:rsidRPr="00CD0B43" w:rsidRDefault="00CD0B43" w:rsidP="00CD0B43">
      <w:pPr>
        <w:pStyle w:val="ListParagraph"/>
        <w:rPr>
          <w:rFonts w:ascii="Arial Narrow" w:hAnsi="Arial Narrow" w:cs="Arial"/>
        </w:rPr>
      </w:pPr>
    </w:p>
    <w:p w:rsidR="00CD0B43" w:rsidRPr="00CD0B43" w:rsidRDefault="00CD0B43" w:rsidP="00CD0B43">
      <w:pPr>
        <w:pStyle w:val="ListParagraph"/>
        <w:numPr>
          <w:ilvl w:val="0"/>
          <w:numId w:val="32"/>
        </w:numPr>
        <w:jc w:val="both"/>
        <w:rPr>
          <w:rFonts w:ascii="Arial Narrow" w:hAnsi="Arial Narrow"/>
        </w:rPr>
      </w:pPr>
      <w:r w:rsidRPr="00CD0B43">
        <w:rPr>
          <w:rFonts w:ascii="Arial Narrow" w:hAnsi="Arial Narrow"/>
        </w:rPr>
        <w:t xml:space="preserve">Les kits doivent être acheminés avant le départ de la mission (Samedi 3 Novembre). </w:t>
      </w:r>
    </w:p>
    <w:p w:rsidR="00CD0B43" w:rsidRPr="00CD0B43" w:rsidRDefault="00CD0B43" w:rsidP="00CD0B43">
      <w:pPr>
        <w:pStyle w:val="ListParagraph"/>
        <w:jc w:val="both"/>
        <w:rPr>
          <w:rFonts w:ascii="Arial Narrow" w:hAnsi="Arial Narrow" w:cs="Arial"/>
        </w:rPr>
      </w:pPr>
    </w:p>
    <w:p w:rsidR="00CD0B43" w:rsidRPr="00A215A6" w:rsidRDefault="00CD0B43" w:rsidP="00CD0B43">
      <w:pPr>
        <w:pStyle w:val="ListParagraph"/>
        <w:jc w:val="both"/>
        <w:rPr>
          <w:rFonts w:ascii="Arial Narrow" w:hAnsi="Arial Narrow" w:cs="Arial"/>
        </w:rPr>
      </w:pPr>
    </w:p>
    <w:p w:rsidR="00F45611" w:rsidRPr="008440A5" w:rsidRDefault="00F45611" w:rsidP="00F40B48">
      <w:pPr>
        <w:shd w:val="clear" w:color="auto" w:fill="943634" w:themeFill="accent2" w:themeFillShade="BF"/>
        <w:jc w:val="both"/>
        <w:rPr>
          <w:rFonts w:ascii="Arial Narrow" w:hAnsi="Arial Narrow" w:cs="Arial"/>
          <w:color w:val="FFFFFF" w:themeColor="background1"/>
        </w:rPr>
      </w:pPr>
      <w:r w:rsidRPr="008440A5">
        <w:rPr>
          <w:rFonts w:ascii="Arial Narrow" w:hAnsi="Arial Narrow" w:cs="Arial"/>
          <w:color w:val="FFFFFF" w:themeColor="background1"/>
        </w:rPr>
        <w:t xml:space="preserve">5. </w:t>
      </w:r>
      <w:r w:rsidR="00D465FF" w:rsidRPr="008440A5">
        <w:rPr>
          <w:rFonts w:ascii="Arial Narrow" w:hAnsi="Arial Narrow" w:cs="Arial"/>
          <w:color w:val="FFFFFF" w:themeColor="background1"/>
        </w:rPr>
        <w:t>Prochaine réunion</w:t>
      </w:r>
    </w:p>
    <w:p w:rsidR="00947689" w:rsidRPr="008440A5" w:rsidRDefault="00947689" w:rsidP="006258AA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 Narrow" w:hAnsi="Arial Narrow" w:cs="Arial"/>
        </w:rPr>
      </w:pPr>
    </w:p>
    <w:p w:rsidR="00B0749A" w:rsidRPr="008440A5" w:rsidRDefault="00947689" w:rsidP="006258AA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 Narrow" w:hAnsi="Arial Narrow" w:cs="Arial"/>
        </w:rPr>
      </w:pPr>
      <w:r w:rsidRPr="008440A5">
        <w:rPr>
          <w:rFonts w:ascii="Arial Narrow" w:hAnsi="Arial Narrow" w:cs="Arial"/>
        </w:rPr>
        <w:t>La proc</w:t>
      </w:r>
      <w:r w:rsidR="00CD0B43">
        <w:rPr>
          <w:rFonts w:ascii="Arial Narrow" w:hAnsi="Arial Narrow" w:cs="Arial"/>
        </w:rPr>
        <w:t xml:space="preserve">haine Réunion est programmée au Lundi 29 Octobre 2018 au HCR de 10h00 à 12h00. </w:t>
      </w:r>
    </w:p>
    <w:p w:rsidR="00947689" w:rsidRPr="008440A5" w:rsidRDefault="00947689" w:rsidP="006258AA">
      <w:pPr>
        <w:pBdr>
          <w:top w:val="double" w:sz="4" w:space="1" w:color="943634" w:themeColor="accent2" w:themeShade="BF"/>
          <w:bottom w:val="double" w:sz="4" w:space="1" w:color="943634" w:themeColor="accent2" w:themeShade="BF"/>
        </w:pBdr>
        <w:jc w:val="both"/>
        <w:rPr>
          <w:rFonts w:ascii="Arial Narrow" w:hAnsi="Arial Narrow" w:cs="Arial"/>
        </w:rPr>
      </w:pPr>
    </w:p>
    <w:sectPr w:rsidR="00947689" w:rsidRPr="008440A5" w:rsidSect="00A11D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E7B" w:rsidRDefault="00454E7B" w:rsidP="008032DD">
      <w:r>
        <w:separator/>
      </w:r>
    </w:p>
  </w:endnote>
  <w:endnote w:type="continuationSeparator" w:id="0">
    <w:p w:rsidR="00454E7B" w:rsidRDefault="00454E7B" w:rsidP="0080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454E7B">
    <w:pPr>
      <w:pStyle w:val="Footer"/>
    </w:pPr>
    <w:hyperlink r:id="rId1" w:history="1">
      <w:r w:rsidR="00A34D44" w:rsidRPr="00E97FA7">
        <w:rPr>
          <w:rStyle w:val="Hyperlink"/>
        </w:rPr>
        <w:t>https://www.sheltercluster.org/response/chad</w:t>
      </w:r>
    </w:hyperlink>
  </w:p>
  <w:p w:rsidR="00A34D44" w:rsidRDefault="00A34D44">
    <w:pPr>
      <w:pStyle w:val="Footer"/>
    </w:pPr>
  </w:p>
  <w:p w:rsidR="00A34D44" w:rsidRDefault="00A34D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E7B" w:rsidRDefault="00454E7B" w:rsidP="008032DD">
      <w:r>
        <w:separator/>
      </w:r>
    </w:p>
  </w:footnote>
  <w:footnote w:type="continuationSeparator" w:id="0">
    <w:p w:rsidR="00454E7B" w:rsidRDefault="00454E7B" w:rsidP="00803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D44" w:rsidRDefault="00A34D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351B"/>
    <w:multiLevelType w:val="hybridMultilevel"/>
    <w:tmpl w:val="11C4DF56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6915EA"/>
    <w:multiLevelType w:val="hybridMultilevel"/>
    <w:tmpl w:val="C1AED0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40526"/>
    <w:multiLevelType w:val="hybridMultilevel"/>
    <w:tmpl w:val="C1AED0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5A94"/>
    <w:multiLevelType w:val="hybridMultilevel"/>
    <w:tmpl w:val="3FEC988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BA4CBA"/>
    <w:multiLevelType w:val="hybridMultilevel"/>
    <w:tmpl w:val="6450C4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61B16"/>
    <w:multiLevelType w:val="hybridMultilevel"/>
    <w:tmpl w:val="8EC22D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E43E7"/>
    <w:multiLevelType w:val="hybridMultilevel"/>
    <w:tmpl w:val="737A9DF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A277FE"/>
    <w:multiLevelType w:val="hybridMultilevel"/>
    <w:tmpl w:val="4196ACC0"/>
    <w:lvl w:ilvl="0" w:tplc="CB3693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A7400"/>
    <w:multiLevelType w:val="hybridMultilevel"/>
    <w:tmpl w:val="E2E04F16"/>
    <w:lvl w:ilvl="0" w:tplc="DACC53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76DF4"/>
    <w:multiLevelType w:val="hybridMultilevel"/>
    <w:tmpl w:val="5E6CB7FC"/>
    <w:lvl w:ilvl="0" w:tplc="4F7217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D6E30"/>
    <w:multiLevelType w:val="hybridMultilevel"/>
    <w:tmpl w:val="308CEB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86681"/>
    <w:multiLevelType w:val="hybridMultilevel"/>
    <w:tmpl w:val="5E5AF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D20F9"/>
    <w:multiLevelType w:val="hybridMultilevel"/>
    <w:tmpl w:val="54A0E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57820"/>
    <w:multiLevelType w:val="hybridMultilevel"/>
    <w:tmpl w:val="48B00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128AA"/>
    <w:multiLevelType w:val="hybridMultilevel"/>
    <w:tmpl w:val="6C2EA1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2532B"/>
    <w:multiLevelType w:val="hybridMultilevel"/>
    <w:tmpl w:val="D39206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5C1FA4"/>
    <w:multiLevelType w:val="hybridMultilevel"/>
    <w:tmpl w:val="CBBEB7EC"/>
    <w:lvl w:ilvl="0" w:tplc="F2C0710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3D33DC"/>
    <w:multiLevelType w:val="hybridMultilevel"/>
    <w:tmpl w:val="71CC0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30FFA"/>
    <w:multiLevelType w:val="hybridMultilevel"/>
    <w:tmpl w:val="50785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F7EC9"/>
    <w:multiLevelType w:val="hybridMultilevel"/>
    <w:tmpl w:val="6F884C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E295A"/>
    <w:multiLevelType w:val="hybridMultilevel"/>
    <w:tmpl w:val="52D8C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B7FB3"/>
    <w:multiLevelType w:val="hybridMultilevel"/>
    <w:tmpl w:val="C2188B9C"/>
    <w:lvl w:ilvl="0" w:tplc="CDD4F850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431F9"/>
    <w:multiLevelType w:val="hybridMultilevel"/>
    <w:tmpl w:val="9B86C924"/>
    <w:lvl w:ilvl="0" w:tplc="41A27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A5256"/>
    <w:multiLevelType w:val="hybridMultilevel"/>
    <w:tmpl w:val="5AC48FA8"/>
    <w:lvl w:ilvl="0" w:tplc="AC7ED544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624B5E"/>
    <w:multiLevelType w:val="hybridMultilevel"/>
    <w:tmpl w:val="266C5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86D10"/>
    <w:multiLevelType w:val="hybridMultilevel"/>
    <w:tmpl w:val="A1F483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D4ADB"/>
    <w:multiLevelType w:val="hybridMultilevel"/>
    <w:tmpl w:val="79E26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85D73"/>
    <w:multiLevelType w:val="hybridMultilevel"/>
    <w:tmpl w:val="B1187D22"/>
    <w:lvl w:ilvl="0" w:tplc="AE9876F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E138BE"/>
    <w:multiLevelType w:val="hybridMultilevel"/>
    <w:tmpl w:val="8EC22D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D7466"/>
    <w:multiLevelType w:val="hybridMultilevel"/>
    <w:tmpl w:val="8F809D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C097F"/>
    <w:multiLevelType w:val="hybridMultilevel"/>
    <w:tmpl w:val="A53EB1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B62D12"/>
    <w:multiLevelType w:val="hybridMultilevel"/>
    <w:tmpl w:val="5E3204E8"/>
    <w:lvl w:ilvl="0" w:tplc="46B292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9"/>
  </w:num>
  <w:num w:numId="2">
    <w:abstractNumId w:val="16"/>
  </w:num>
  <w:num w:numId="3">
    <w:abstractNumId w:val="8"/>
  </w:num>
  <w:num w:numId="4">
    <w:abstractNumId w:val="7"/>
  </w:num>
  <w:num w:numId="5">
    <w:abstractNumId w:val="27"/>
  </w:num>
  <w:num w:numId="6">
    <w:abstractNumId w:val="31"/>
  </w:num>
  <w:num w:numId="7">
    <w:abstractNumId w:val="9"/>
  </w:num>
  <w:num w:numId="8">
    <w:abstractNumId w:val="21"/>
  </w:num>
  <w:num w:numId="9">
    <w:abstractNumId w:val="14"/>
  </w:num>
  <w:num w:numId="10">
    <w:abstractNumId w:val="10"/>
  </w:num>
  <w:num w:numId="11">
    <w:abstractNumId w:val="12"/>
  </w:num>
  <w:num w:numId="12">
    <w:abstractNumId w:val="5"/>
  </w:num>
  <w:num w:numId="13">
    <w:abstractNumId w:val="6"/>
  </w:num>
  <w:num w:numId="14">
    <w:abstractNumId w:val="18"/>
  </w:num>
  <w:num w:numId="15">
    <w:abstractNumId w:val="15"/>
  </w:num>
  <w:num w:numId="16">
    <w:abstractNumId w:val="13"/>
  </w:num>
  <w:num w:numId="17">
    <w:abstractNumId w:val="11"/>
  </w:num>
  <w:num w:numId="18">
    <w:abstractNumId w:val="24"/>
  </w:num>
  <w:num w:numId="19">
    <w:abstractNumId w:val="23"/>
  </w:num>
  <w:num w:numId="20">
    <w:abstractNumId w:val="17"/>
  </w:num>
  <w:num w:numId="21">
    <w:abstractNumId w:val="20"/>
  </w:num>
  <w:num w:numId="22">
    <w:abstractNumId w:val="28"/>
  </w:num>
  <w:num w:numId="23">
    <w:abstractNumId w:val="22"/>
  </w:num>
  <w:num w:numId="24">
    <w:abstractNumId w:val="4"/>
  </w:num>
  <w:num w:numId="25">
    <w:abstractNumId w:val="26"/>
  </w:num>
  <w:num w:numId="26">
    <w:abstractNumId w:val="19"/>
  </w:num>
  <w:num w:numId="27">
    <w:abstractNumId w:val="1"/>
  </w:num>
  <w:num w:numId="28">
    <w:abstractNumId w:val="0"/>
  </w:num>
  <w:num w:numId="29">
    <w:abstractNumId w:val="30"/>
  </w:num>
  <w:num w:numId="30">
    <w:abstractNumId w:val="2"/>
  </w:num>
  <w:num w:numId="31">
    <w:abstractNumId w:val="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F4"/>
    <w:rsid w:val="000060DE"/>
    <w:rsid w:val="000960FA"/>
    <w:rsid w:val="000A14F2"/>
    <w:rsid w:val="000B7FFE"/>
    <w:rsid w:val="000D407A"/>
    <w:rsid w:val="000E3785"/>
    <w:rsid w:val="00116F93"/>
    <w:rsid w:val="001B6CFC"/>
    <w:rsid w:val="001B6F6B"/>
    <w:rsid w:val="001C0D36"/>
    <w:rsid w:val="00270C65"/>
    <w:rsid w:val="002B7B63"/>
    <w:rsid w:val="002E250F"/>
    <w:rsid w:val="003156B4"/>
    <w:rsid w:val="003248AD"/>
    <w:rsid w:val="00335A27"/>
    <w:rsid w:val="003D1A9D"/>
    <w:rsid w:val="003F6BB1"/>
    <w:rsid w:val="00406888"/>
    <w:rsid w:val="004324AD"/>
    <w:rsid w:val="004433DA"/>
    <w:rsid w:val="004465E1"/>
    <w:rsid w:val="00454E7B"/>
    <w:rsid w:val="00455D91"/>
    <w:rsid w:val="004A1EF1"/>
    <w:rsid w:val="004A494F"/>
    <w:rsid w:val="004D0B74"/>
    <w:rsid w:val="004D469B"/>
    <w:rsid w:val="00514B45"/>
    <w:rsid w:val="00533BAD"/>
    <w:rsid w:val="00536EF1"/>
    <w:rsid w:val="0057243F"/>
    <w:rsid w:val="005D6262"/>
    <w:rsid w:val="005F460A"/>
    <w:rsid w:val="005F55A5"/>
    <w:rsid w:val="00600122"/>
    <w:rsid w:val="00614122"/>
    <w:rsid w:val="006258AA"/>
    <w:rsid w:val="006C7D3C"/>
    <w:rsid w:val="006D2DFD"/>
    <w:rsid w:val="00716AF3"/>
    <w:rsid w:val="007234C9"/>
    <w:rsid w:val="00771A18"/>
    <w:rsid w:val="00771FC1"/>
    <w:rsid w:val="007D12AE"/>
    <w:rsid w:val="007D3EF4"/>
    <w:rsid w:val="008032DD"/>
    <w:rsid w:val="008440A5"/>
    <w:rsid w:val="00853ED1"/>
    <w:rsid w:val="00862DB6"/>
    <w:rsid w:val="00866106"/>
    <w:rsid w:val="00873FD9"/>
    <w:rsid w:val="00884B88"/>
    <w:rsid w:val="008C1CFE"/>
    <w:rsid w:val="008D0EF3"/>
    <w:rsid w:val="008F599B"/>
    <w:rsid w:val="0090346C"/>
    <w:rsid w:val="009117E7"/>
    <w:rsid w:val="0094263D"/>
    <w:rsid w:val="00947689"/>
    <w:rsid w:val="00980872"/>
    <w:rsid w:val="00993DD6"/>
    <w:rsid w:val="0099426A"/>
    <w:rsid w:val="009A57E3"/>
    <w:rsid w:val="009B382C"/>
    <w:rsid w:val="009B6BF0"/>
    <w:rsid w:val="00A03CCC"/>
    <w:rsid w:val="00A11DD0"/>
    <w:rsid w:val="00A16D11"/>
    <w:rsid w:val="00A215A6"/>
    <w:rsid w:val="00A34D44"/>
    <w:rsid w:val="00AB42DA"/>
    <w:rsid w:val="00AB70EE"/>
    <w:rsid w:val="00AC46D4"/>
    <w:rsid w:val="00AF0CE4"/>
    <w:rsid w:val="00AF2495"/>
    <w:rsid w:val="00B0749A"/>
    <w:rsid w:val="00B6514C"/>
    <w:rsid w:val="00B84CAD"/>
    <w:rsid w:val="00BD5C4D"/>
    <w:rsid w:val="00BE7BC3"/>
    <w:rsid w:val="00BF33B0"/>
    <w:rsid w:val="00BF78FF"/>
    <w:rsid w:val="00C20B36"/>
    <w:rsid w:val="00C509DE"/>
    <w:rsid w:val="00C52024"/>
    <w:rsid w:val="00C76CB9"/>
    <w:rsid w:val="00CD05F6"/>
    <w:rsid w:val="00CD0B43"/>
    <w:rsid w:val="00CE0470"/>
    <w:rsid w:val="00CE097F"/>
    <w:rsid w:val="00D011DB"/>
    <w:rsid w:val="00D07F01"/>
    <w:rsid w:val="00D465FF"/>
    <w:rsid w:val="00D472E8"/>
    <w:rsid w:val="00D703A7"/>
    <w:rsid w:val="00DA3D81"/>
    <w:rsid w:val="00DC5963"/>
    <w:rsid w:val="00E24EA3"/>
    <w:rsid w:val="00E26933"/>
    <w:rsid w:val="00E379B9"/>
    <w:rsid w:val="00E43A4C"/>
    <w:rsid w:val="00E92F77"/>
    <w:rsid w:val="00EC01CB"/>
    <w:rsid w:val="00EC5CA4"/>
    <w:rsid w:val="00EE1D9A"/>
    <w:rsid w:val="00EE34B7"/>
    <w:rsid w:val="00F259E1"/>
    <w:rsid w:val="00F40B48"/>
    <w:rsid w:val="00F45611"/>
    <w:rsid w:val="00F733ED"/>
    <w:rsid w:val="00FB45DA"/>
    <w:rsid w:val="00FD679F"/>
    <w:rsid w:val="00F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FFD6FDC-BE0B-4A22-8F54-22BE2781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72"/>
  </w:style>
  <w:style w:type="paragraph" w:styleId="Heading1">
    <w:name w:val="heading 1"/>
    <w:basedOn w:val="Normal"/>
    <w:next w:val="Normal"/>
    <w:link w:val="Heading1Char"/>
    <w:uiPriority w:val="9"/>
    <w:qFormat/>
    <w:rsid w:val="007D3E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2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2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62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62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E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D3E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3E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E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F4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D6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62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2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626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5D626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5D626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2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262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5D62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D6262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5D626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D6262"/>
  </w:style>
  <w:style w:type="character" w:customStyle="1" w:styleId="Heading4Char">
    <w:name w:val="Heading 4 Char"/>
    <w:basedOn w:val="DefaultParagraphFont"/>
    <w:link w:val="Heading4"/>
    <w:uiPriority w:val="9"/>
    <w:rsid w:val="005D6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D626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5D626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117E7"/>
  </w:style>
  <w:style w:type="character" w:styleId="Hyperlink">
    <w:name w:val="Hyperlink"/>
    <w:basedOn w:val="DefaultParagraphFont"/>
    <w:uiPriority w:val="99"/>
    <w:unhideWhenUsed/>
    <w:rsid w:val="008032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3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2DD"/>
  </w:style>
  <w:style w:type="paragraph" w:styleId="Footer">
    <w:name w:val="footer"/>
    <w:basedOn w:val="Normal"/>
    <w:link w:val="FooterChar"/>
    <w:uiPriority w:val="99"/>
    <w:unhideWhenUsed/>
    <w:rsid w:val="00803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eltercluster.org/response/chad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C62CB9-99C6-42DC-895B-4C40FF9B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678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de Coupigny</dc:creator>
  <cp:keywords/>
  <dc:description/>
  <cp:lastModifiedBy>Ernst Jean</cp:lastModifiedBy>
  <cp:revision>20</cp:revision>
  <cp:lastPrinted>2018-04-19T11:12:00Z</cp:lastPrinted>
  <dcterms:created xsi:type="dcterms:W3CDTF">2018-04-19T07:15:00Z</dcterms:created>
  <dcterms:modified xsi:type="dcterms:W3CDTF">2018-11-06T08:28:00Z</dcterms:modified>
</cp:coreProperties>
</file>