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E7" w:rsidRDefault="00884B88" w:rsidP="00F40B48">
      <w:pPr>
        <w:pStyle w:val="Heading1"/>
        <w:jc w:val="both"/>
      </w:pPr>
      <w:r w:rsidRPr="00884B88">
        <w:rPr>
          <w:noProof/>
        </w:rPr>
        <w:drawing>
          <wp:anchor distT="0" distB="0" distL="114300" distR="114300" simplePos="0" relativeHeight="251658240" behindDoc="1" locked="0" layoutInCell="1" allowOverlap="1" wp14:anchorId="40963341" wp14:editId="3846A344">
            <wp:simplePos x="0" y="0"/>
            <wp:positionH relativeFrom="column">
              <wp:posOffset>610953</wp:posOffset>
            </wp:positionH>
            <wp:positionV relativeFrom="paragraph">
              <wp:posOffset>-407090</wp:posOffset>
            </wp:positionV>
            <wp:extent cx="4535170" cy="819150"/>
            <wp:effectExtent l="0" t="0" r="0" b="0"/>
            <wp:wrapNone/>
            <wp:docPr id="2" name="Picture 2" descr="C:\Users\decoupig\Desktop\Template\logo She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coupig\Desktop\Template\logo Shel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1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B88" w:rsidRDefault="00884B88" w:rsidP="00F40B48">
      <w:pPr>
        <w:jc w:val="both"/>
        <w:rPr>
          <w:rFonts w:ascii="Arial" w:hAnsi="Arial" w:cs="Arial"/>
          <w:color w:val="548DD4" w:themeColor="text2" w:themeTint="99"/>
        </w:rPr>
      </w:pPr>
    </w:p>
    <w:p w:rsidR="008032DD" w:rsidRDefault="00716AF3" w:rsidP="00F40B48">
      <w:pPr>
        <w:jc w:val="both"/>
        <w:rPr>
          <w:rFonts w:ascii="Arial" w:hAnsi="Arial" w:cs="Arial"/>
          <w:b/>
          <w:color w:val="943634" w:themeColor="accent2" w:themeShade="BF"/>
        </w:rPr>
      </w:pPr>
      <w:r>
        <w:rPr>
          <w:rFonts w:ascii="Arial" w:hAnsi="Arial" w:cs="Arial"/>
          <w:b/>
          <w:color w:val="943634" w:themeColor="accent2" w:themeShade="BF"/>
        </w:rPr>
        <w:t>Min</w:t>
      </w:r>
      <w:r w:rsidR="00AA757A">
        <w:rPr>
          <w:rFonts w:ascii="Arial" w:hAnsi="Arial" w:cs="Arial"/>
          <w:b/>
          <w:color w:val="943634" w:themeColor="accent2" w:themeShade="BF"/>
        </w:rPr>
        <w:t xml:space="preserve">utes de Réunion spéciale </w:t>
      </w:r>
      <w:r>
        <w:rPr>
          <w:rFonts w:ascii="Arial" w:hAnsi="Arial" w:cs="Arial"/>
          <w:b/>
          <w:color w:val="943634" w:themeColor="accent2" w:themeShade="BF"/>
        </w:rPr>
        <w:t>du</w:t>
      </w:r>
      <w:r w:rsidR="00E379B9">
        <w:rPr>
          <w:rFonts w:ascii="Arial" w:hAnsi="Arial" w:cs="Arial"/>
          <w:b/>
          <w:color w:val="943634" w:themeColor="accent2" w:themeShade="BF"/>
        </w:rPr>
        <w:t xml:space="preserve"> Sub-</w:t>
      </w:r>
      <w:r w:rsidR="00AA757A">
        <w:rPr>
          <w:rFonts w:ascii="Arial" w:hAnsi="Arial" w:cs="Arial"/>
          <w:b/>
          <w:color w:val="943634" w:themeColor="accent2" w:themeShade="BF"/>
        </w:rPr>
        <w:t>Cluster CCCM/Abris/AME sur la situation à Kaiga Kindjiria – 22 Octobre 2018, Bureau HCR Bagasola</w:t>
      </w:r>
    </w:p>
    <w:p w:rsidR="00AA757A" w:rsidRPr="008032DD" w:rsidRDefault="00AA757A" w:rsidP="00F40B48">
      <w:pPr>
        <w:jc w:val="both"/>
        <w:rPr>
          <w:rFonts w:ascii="Arial" w:hAnsi="Arial" w:cs="Arial"/>
          <w:b/>
          <w:color w:val="943634" w:themeColor="accent2" w:themeShade="BF"/>
        </w:rPr>
      </w:pPr>
    </w:p>
    <w:p w:rsidR="005D6262" w:rsidRPr="00EE1D9A" w:rsidRDefault="009117E7"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1</w:t>
      </w:r>
      <w:r w:rsidR="00BE7BC3" w:rsidRPr="00EE1D9A">
        <w:rPr>
          <w:rFonts w:ascii="Arial" w:hAnsi="Arial" w:cs="Arial"/>
          <w:color w:val="FFFFFF" w:themeColor="background1"/>
        </w:rPr>
        <w:t>.</w:t>
      </w:r>
      <w:r w:rsidRPr="00EE1D9A">
        <w:rPr>
          <w:rFonts w:ascii="Arial" w:hAnsi="Arial" w:cs="Arial"/>
          <w:color w:val="FFFFFF" w:themeColor="background1"/>
        </w:rPr>
        <w:t xml:space="preserve"> </w:t>
      </w:r>
      <w:r w:rsidR="00BE7BC3" w:rsidRPr="00EE1D9A">
        <w:rPr>
          <w:rFonts w:ascii="Arial" w:hAnsi="Arial" w:cs="Arial"/>
          <w:color w:val="FFFFFF" w:themeColor="background1"/>
        </w:rPr>
        <w:t>Introduction</w:t>
      </w:r>
    </w:p>
    <w:p w:rsidR="006D2DFD" w:rsidRDefault="006D2DFD" w:rsidP="00F40B48">
      <w:pPr>
        <w:jc w:val="both"/>
        <w:rPr>
          <w:rFonts w:ascii="Arial" w:hAnsi="Arial" w:cs="Arial"/>
          <w:sz w:val="20"/>
          <w:szCs w:val="20"/>
        </w:rPr>
      </w:pPr>
    </w:p>
    <w:p w:rsidR="00D31037" w:rsidRDefault="00AA757A" w:rsidP="00F40B48">
      <w:pPr>
        <w:jc w:val="both"/>
        <w:rPr>
          <w:rFonts w:ascii="Arial" w:hAnsi="Arial" w:cs="Arial"/>
          <w:sz w:val="20"/>
          <w:szCs w:val="20"/>
        </w:rPr>
      </w:pPr>
      <w:r>
        <w:rPr>
          <w:rFonts w:ascii="Arial" w:hAnsi="Arial" w:cs="Arial"/>
          <w:sz w:val="20"/>
          <w:szCs w:val="20"/>
        </w:rPr>
        <w:t xml:space="preserve">Suite à l’incendie (dont la source est encore inconnue de la communauté humanitaire) qui s’est produit dans la sous-préfecture de Kaiga Kindjiria le 17 Octobre dernier, une réunion spéciale a été convoquée par OCHA en date du Vendredi 19 Octobre pour discuter sur la situation et de surcroît voir dans quelle mesure la communauté humanitaire peut apporter de l’assistance aux victimes. Bien avant l’incendie, l’acteur CICR intervenait dans la zone. Et ils se positionnent déjà pour aller faire une assistance en NFI aux victimes de l’incendie. Comme ils ont la capacité pour couvrir tous les besoins en NFI des victimes, il a été décidé que le sous-Cluster Abris/AME </w:t>
      </w:r>
      <w:r w:rsidR="00325116">
        <w:rPr>
          <w:rFonts w:ascii="Arial" w:hAnsi="Arial" w:cs="Arial"/>
          <w:sz w:val="20"/>
          <w:szCs w:val="20"/>
        </w:rPr>
        <w:t xml:space="preserve">planifie une intervention auprès des IDPs vivant sur les sites et villages les plus vulnérables (marqués 3 et 4) selon la Matrice de sévérité du sous-Cluster. C’est dans ce contexte qu’a eu lieu cette réunion spéciale du sous-Cluster pour statuer sur la planification de cette intervention. </w:t>
      </w:r>
    </w:p>
    <w:p w:rsidR="00D72AD9" w:rsidRDefault="00D72AD9" w:rsidP="00F40B48">
      <w:pPr>
        <w:jc w:val="both"/>
        <w:rPr>
          <w:rFonts w:ascii="Arial" w:hAnsi="Arial" w:cs="Arial"/>
          <w:sz w:val="20"/>
          <w:szCs w:val="20"/>
        </w:rPr>
      </w:pPr>
    </w:p>
    <w:p w:rsidR="00F45611" w:rsidRPr="00AA757A" w:rsidRDefault="00F45611" w:rsidP="00F40B48">
      <w:pPr>
        <w:shd w:val="clear" w:color="auto" w:fill="943634" w:themeFill="accent2" w:themeFillShade="BF"/>
        <w:jc w:val="both"/>
        <w:rPr>
          <w:rFonts w:ascii="Arial" w:hAnsi="Arial" w:cs="Arial"/>
          <w:color w:val="FFFFFF" w:themeColor="background1"/>
        </w:rPr>
      </w:pPr>
      <w:r w:rsidRPr="00AA757A">
        <w:rPr>
          <w:rFonts w:ascii="Arial" w:hAnsi="Arial" w:cs="Arial"/>
          <w:color w:val="FFFFFF" w:themeColor="background1"/>
        </w:rPr>
        <w:t>2. Participants</w:t>
      </w:r>
    </w:p>
    <w:p w:rsidR="00F45611" w:rsidRPr="00AA757A" w:rsidRDefault="00F45611" w:rsidP="00F40B48">
      <w:pPr>
        <w:jc w:val="both"/>
        <w:rPr>
          <w:rFonts w:ascii="Arial" w:hAnsi="Arial" w:cs="Arial"/>
        </w:rPr>
      </w:pPr>
    </w:p>
    <w:p w:rsidR="006D2DFD" w:rsidRPr="00325116" w:rsidRDefault="00325116" w:rsidP="006D2DFD">
      <w:pPr>
        <w:jc w:val="both"/>
        <w:rPr>
          <w:rFonts w:ascii="Arial" w:hAnsi="Arial" w:cs="Arial"/>
          <w:sz w:val="20"/>
          <w:szCs w:val="20"/>
          <w:lang w:val="en-US"/>
        </w:rPr>
      </w:pPr>
      <w:r w:rsidRPr="00325116">
        <w:rPr>
          <w:rFonts w:ascii="Arial" w:hAnsi="Arial" w:cs="Arial"/>
          <w:sz w:val="20"/>
          <w:szCs w:val="20"/>
          <w:lang w:val="en-US"/>
        </w:rPr>
        <w:t xml:space="preserve">HCR, Help-Tchad, ACF, Care International, CRT, AHDSS, OIM, OCHA, UNICEF, </w:t>
      </w:r>
      <w:proofErr w:type="spellStart"/>
      <w:r w:rsidRPr="00325116">
        <w:rPr>
          <w:rFonts w:ascii="Arial" w:hAnsi="Arial" w:cs="Arial"/>
          <w:sz w:val="20"/>
          <w:szCs w:val="20"/>
          <w:lang w:val="en-US"/>
        </w:rPr>
        <w:t>OxFam</w:t>
      </w:r>
      <w:proofErr w:type="spellEnd"/>
      <w:r w:rsidRPr="00325116">
        <w:rPr>
          <w:rFonts w:ascii="Arial" w:hAnsi="Arial" w:cs="Arial"/>
          <w:sz w:val="20"/>
          <w:szCs w:val="20"/>
          <w:lang w:val="en-US"/>
        </w:rPr>
        <w:t>, WFP, APSELPA, ACHDR, ACHUDE</w:t>
      </w:r>
    </w:p>
    <w:p w:rsidR="00C112F7" w:rsidRPr="00325116" w:rsidRDefault="00C112F7" w:rsidP="006D2DFD">
      <w:pPr>
        <w:jc w:val="both"/>
        <w:rPr>
          <w:rFonts w:ascii="Arial" w:hAnsi="Arial" w:cs="Arial"/>
          <w:sz w:val="20"/>
          <w:szCs w:val="20"/>
          <w:lang w:val="en-US"/>
        </w:rPr>
      </w:pPr>
    </w:p>
    <w:p w:rsidR="00F45611" w:rsidRPr="00C112F7" w:rsidRDefault="00F45611" w:rsidP="00F40B48">
      <w:pPr>
        <w:shd w:val="clear" w:color="auto" w:fill="943634" w:themeFill="accent2" w:themeFillShade="BF"/>
        <w:jc w:val="both"/>
        <w:rPr>
          <w:rFonts w:ascii="Arial" w:hAnsi="Arial" w:cs="Arial"/>
          <w:color w:val="FFFFFF" w:themeColor="background1"/>
          <w:sz w:val="20"/>
          <w:szCs w:val="20"/>
        </w:rPr>
      </w:pPr>
      <w:r w:rsidRPr="00C112F7">
        <w:rPr>
          <w:rFonts w:ascii="Arial" w:hAnsi="Arial" w:cs="Arial"/>
          <w:color w:val="FFFFFF" w:themeColor="background1"/>
          <w:sz w:val="20"/>
          <w:szCs w:val="20"/>
        </w:rPr>
        <w:t>3. Agenda</w:t>
      </w:r>
      <w:r w:rsidR="00533BAD" w:rsidRPr="00C112F7">
        <w:rPr>
          <w:rFonts w:ascii="Arial" w:hAnsi="Arial" w:cs="Arial"/>
          <w:color w:val="FFFFFF" w:themeColor="background1"/>
          <w:sz w:val="20"/>
          <w:szCs w:val="20"/>
        </w:rPr>
        <w:t xml:space="preserve"> </w:t>
      </w:r>
    </w:p>
    <w:p w:rsidR="00C112F7" w:rsidRPr="00C112F7" w:rsidRDefault="00C112F7" w:rsidP="00C112F7">
      <w:pPr>
        <w:rPr>
          <w:rFonts w:ascii="Arial" w:hAnsi="Arial" w:cs="Arial"/>
          <w:sz w:val="20"/>
          <w:szCs w:val="20"/>
        </w:rPr>
      </w:pPr>
    </w:p>
    <w:p w:rsidR="00C112F7" w:rsidRDefault="00325116" w:rsidP="00325116">
      <w:pPr>
        <w:pStyle w:val="ListParagraph"/>
        <w:numPr>
          <w:ilvl w:val="0"/>
          <w:numId w:val="24"/>
        </w:numPr>
        <w:contextualSpacing w:val="0"/>
        <w:rPr>
          <w:rFonts w:ascii="Arial" w:hAnsi="Arial" w:cs="Arial"/>
          <w:sz w:val="20"/>
          <w:szCs w:val="20"/>
        </w:rPr>
      </w:pPr>
      <w:r>
        <w:rPr>
          <w:rFonts w:ascii="Arial" w:hAnsi="Arial" w:cs="Arial"/>
          <w:sz w:val="20"/>
          <w:szCs w:val="20"/>
        </w:rPr>
        <w:t>Les besoins à couvrir par le sous-Cluster à Kaiga</w:t>
      </w:r>
    </w:p>
    <w:p w:rsidR="00325116" w:rsidRDefault="00325116" w:rsidP="00325116">
      <w:pPr>
        <w:pStyle w:val="ListParagraph"/>
        <w:numPr>
          <w:ilvl w:val="0"/>
          <w:numId w:val="24"/>
        </w:numPr>
        <w:contextualSpacing w:val="0"/>
        <w:rPr>
          <w:rFonts w:ascii="Arial" w:hAnsi="Arial" w:cs="Arial"/>
          <w:sz w:val="20"/>
          <w:szCs w:val="20"/>
        </w:rPr>
      </w:pPr>
      <w:r>
        <w:rPr>
          <w:rFonts w:ascii="Arial" w:hAnsi="Arial" w:cs="Arial"/>
          <w:sz w:val="20"/>
          <w:szCs w:val="20"/>
        </w:rPr>
        <w:t>La disponibilité des stocks des Partenaires</w:t>
      </w:r>
    </w:p>
    <w:p w:rsidR="00325116" w:rsidRDefault="00325116" w:rsidP="00325116">
      <w:pPr>
        <w:pStyle w:val="ListParagraph"/>
        <w:numPr>
          <w:ilvl w:val="0"/>
          <w:numId w:val="24"/>
        </w:numPr>
        <w:contextualSpacing w:val="0"/>
        <w:rPr>
          <w:rFonts w:ascii="Arial" w:hAnsi="Arial" w:cs="Arial"/>
          <w:sz w:val="20"/>
          <w:szCs w:val="20"/>
        </w:rPr>
      </w:pPr>
      <w:r>
        <w:rPr>
          <w:rFonts w:ascii="Arial" w:hAnsi="Arial" w:cs="Arial"/>
          <w:sz w:val="20"/>
          <w:szCs w:val="20"/>
        </w:rPr>
        <w:t>La Planification de l’Intervention</w:t>
      </w:r>
    </w:p>
    <w:p w:rsidR="00325116" w:rsidRDefault="00325116" w:rsidP="00325116">
      <w:pPr>
        <w:pStyle w:val="ListParagraph"/>
        <w:numPr>
          <w:ilvl w:val="0"/>
          <w:numId w:val="24"/>
        </w:numPr>
        <w:contextualSpacing w:val="0"/>
        <w:rPr>
          <w:rFonts w:ascii="Arial" w:hAnsi="Arial" w:cs="Arial"/>
          <w:sz w:val="20"/>
          <w:szCs w:val="20"/>
        </w:rPr>
      </w:pPr>
      <w:r>
        <w:rPr>
          <w:rFonts w:ascii="Arial" w:hAnsi="Arial" w:cs="Arial"/>
          <w:sz w:val="20"/>
          <w:szCs w:val="20"/>
        </w:rPr>
        <w:t>La question de l’accès à la zone (préoccupations sécuritaires)</w:t>
      </w:r>
    </w:p>
    <w:p w:rsidR="00325116" w:rsidRPr="00325116" w:rsidRDefault="00325116" w:rsidP="00325116">
      <w:pPr>
        <w:pStyle w:val="ListParagraph"/>
        <w:numPr>
          <w:ilvl w:val="0"/>
          <w:numId w:val="24"/>
        </w:numPr>
        <w:contextualSpacing w:val="0"/>
        <w:rPr>
          <w:rFonts w:ascii="Arial" w:hAnsi="Arial" w:cs="Arial"/>
          <w:sz w:val="20"/>
          <w:szCs w:val="20"/>
        </w:rPr>
      </w:pPr>
      <w:r>
        <w:rPr>
          <w:rFonts w:ascii="Arial" w:hAnsi="Arial" w:cs="Arial"/>
          <w:sz w:val="20"/>
          <w:szCs w:val="20"/>
        </w:rPr>
        <w:t>Divers …</w:t>
      </w:r>
    </w:p>
    <w:p w:rsidR="0057243F" w:rsidRPr="00C112F7" w:rsidRDefault="0057243F" w:rsidP="00F40B48">
      <w:pPr>
        <w:jc w:val="both"/>
        <w:rPr>
          <w:rFonts w:ascii="Arial" w:hAnsi="Arial" w:cs="Arial"/>
          <w:sz w:val="20"/>
          <w:szCs w:val="20"/>
        </w:rPr>
      </w:pPr>
    </w:p>
    <w:p w:rsidR="00D72AD9" w:rsidRPr="00C112F7" w:rsidRDefault="00D72AD9" w:rsidP="00F40B48">
      <w:pPr>
        <w:jc w:val="both"/>
        <w:rPr>
          <w:rFonts w:ascii="Arial" w:hAnsi="Arial" w:cs="Arial"/>
          <w:sz w:val="20"/>
          <w:szCs w:val="20"/>
        </w:rPr>
      </w:pPr>
    </w:p>
    <w:p w:rsidR="00F45611" w:rsidRPr="00C112F7" w:rsidRDefault="00F45611" w:rsidP="00F40B48">
      <w:pPr>
        <w:shd w:val="clear" w:color="auto" w:fill="943634" w:themeFill="accent2" w:themeFillShade="BF"/>
        <w:jc w:val="both"/>
        <w:rPr>
          <w:rFonts w:ascii="Arial" w:hAnsi="Arial" w:cs="Arial"/>
          <w:color w:val="FFFFFF" w:themeColor="background1"/>
          <w:sz w:val="20"/>
          <w:szCs w:val="20"/>
        </w:rPr>
      </w:pPr>
      <w:r w:rsidRPr="00C112F7">
        <w:rPr>
          <w:rFonts w:ascii="Arial" w:hAnsi="Arial" w:cs="Arial"/>
          <w:color w:val="FFFFFF" w:themeColor="background1"/>
          <w:sz w:val="20"/>
          <w:szCs w:val="20"/>
        </w:rPr>
        <w:t>4. Discussion</w:t>
      </w:r>
      <w:r w:rsidR="00F733ED" w:rsidRPr="00C112F7">
        <w:rPr>
          <w:rFonts w:ascii="Arial" w:hAnsi="Arial" w:cs="Arial"/>
          <w:color w:val="FFFFFF" w:themeColor="background1"/>
          <w:sz w:val="20"/>
          <w:szCs w:val="20"/>
        </w:rPr>
        <w:t>s</w:t>
      </w:r>
    </w:p>
    <w:p w:rsidR="00116F93" w:rsidRPr="00C112F7" w:rsidRDefault="00116F93" w:rsidP="00F40B48">
      <w:pPr>
        <w:jc w:val="both"/>
        <w:rPr>
          <w:rFonts w:ascii="Arial" w:hAnsi="Arial" w:cs="Arial"/>
          <w:sz w:val="20"/>
          <w:szCs w:val="20"/>
        </w:rPr>
      </w:pPr>
    </w:p>
    <w:p w:rsidR="007234C9" w:rsidRPr="00C112F7" w:rsidRDefault="00E379B9"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r w:rsidRPr="00C112F7">
        <w:rPr>
          <w:rFonts w:ascii="Arial" w:hAnsi="Arial" w:cs="Arial"/>
          <w:sz w:val="20"/>
          <w:szCs w:val="20"/>
        </w:rPr>
        <w:t xml:space="preserve">4.1. </w:t>
      </w:r>
      <w:r w:rsidR="00325116">
        <w:rPr>
          <w:rFonts w:ascii="Arial" w:hAnsi="Arial" w:cs="Arial"/>
          <w:sz w:val="20"/>
          <w:szCs w:val="20"/>
        </w:rPr>
        <w:t>Les besoins à couvrir</w:t>
      </w:r>
    </w:p>
    <w:p w:rsidR="00E15F83" w:rsidRDefault="00E15F83" w:rsidP="00F40B48">
      <w:pPr>
        <w:jc w:val="both"/>
        <w:rPr>
          <w:rFonts w:ascii="Arial" w:hAnsi="Arial" w:cs="Arial"/>
          <w:sz w:val="20"/>
          <w:szCs w:val="20"/>
        </w:rPr>
      </w:pPr>
    </w:p>
    <w:p w:rsidR="008C1CFE" w:rsidRPr="00C112F7" w:rsidRDefault="00325116" w:rsidP="00F40B48">
      <w:pPr>
        <w:jc w:val="both"/>
        <w:rPr>
          <w:rFonts w:ascii="Arial" w:hAnsi="Arial" w:cs="Arial"/>
          <w:sz w:val="20"/>
          <w:szCs w:val="20"/>
        </w:rPr>
      </w:pPr>
      <w:r>
        <w:rPr>
          <w:rFonts w:ascii="Arial" w:hAnsi="Arial" w:cs="Arial"/>
          <w:sz w:val="20"/>
          <w:szCs w:val="20"/>
        </w:rPr>
        <w:t xml:space="preserve">Il y a trois (3) villages et un (1) site en situation préoccupante (marqués 3) et quatre (4) sites en situation critique (marqués 4) dans la sous-préfecture de Kaiga Kindjiria. L’intervention cible donc huit (8) lieux de déplacements des IDPs. </w:t>
      </w:r>
      <w:r w:rsidR="00AE2324">
        <w:rPr>
          <w:rFonts w:ascii="Arial" w:hAnsi="Arial" w:cs="Arial"/>
          <w:sz w:val="20"/>
          <w:szCs w:val="20"/>
        </w:rPr>
        <w:t xml:space="preserve">Un total de </w:t>
      </w:r>
      <w:r w:rsidR="00AE2324" w:rsidRPr="00AE2324">
        <w:rPr>
          <w:rFonts w:ascii="Arial" w:hAnsi="Arial" w:cs="Arial"/>
          <w:b/>
          <w:sz w:val="20"/>
          <w:szCs w:val="20"/>
        </w:rPr>
        <w:t>13,555</w:t>
      </w:r>
      <w:r w:rsidR="00AE2324">
        <w:rPr>
          <w:rFonts w:ascii="Arial" w:hAnsi="Arial" w:cs="Arial"/>
          <w:sz w:val="20"/>
          <w:szCs w:val="20"/>
        </w:rPr>
        <w:t xml:space="preserve"> </w:t>
      </w:r>
      <w:r w:rsidR="00AE2324" w:rsidRPr="00AE2324">
        <w:rPr>
          <w:rFonts w:ascii="Arial" w:hAnsi="Arial" w:cs="Arial"/>
          <w:b/>
          <w:sz w:val="20"/>
          <w:szCs w:val="20"/>
        </w:rPr>
        <w:t>personnes</w:t>
      </w:r>
      <w:r w:rsidR="00AE2324">
        <w:rPr>
          <w:rFonts w:ascii="Arial" w:hAnsi="Arial" w:cs="Arial"/>
          <w:sz w:val="20"/>
          <w:szCs w:val="20"/>
        </w:rPr>
        <w:t xml:space="preserve"> pour </w:t>
      </w:r>
      <w:r w:rsidR="00AE2324" w:rsidRPr="00AE2324">
        <w:rPr>
          <w:rFonts w:ascii="Arial" w:hAnsi="Arial" w:cs="Arial"/>
          <w:b/>
          <w:sz w:val="20"/>
          <w:szCs w:val="20"/>
        </w:rPr>
        <w:t>3,227 ménages</w:t>
      </w:r>
      <w:r w:rsidR="00AE2324">
        <w:rPr>
          <w:rFonts w:ascii="Arial" w:hAnsi="Arial" w:cs="Arial"/>
          <w:sz w:val="20"/>
          <w:szCs w:val="20"/>
        </w:rPr>
        <w:t xml:space="preserve"> est à assister en NFI et abris d’urgence. Un autre exercice de priorisation pour cibler les plus vulnérables sera éventuellement mené.  </w:t>
      </w:r>
    </w:p>
    <w:p w:rsidR="00D72AD9" w:rsidRPr="00C112F7" w:rsidRDefault="00D72AD9" w:rsidP="00F40B48">
      <w:pPr>
        <w:jc w:val="both"/>
        <w:rPr>
          <w:rFonts w:ascii="Arial" w:hAnsi="Arial" w:cs="Arial"/>
          <w:sz w:val="20"/>
          <w:szCs w:val="20"/>
        </w:rPr>
      </w:pPr>
    </w:p>
    <w:p w:rsidR="00CE097F" w:rsidRPr="00C112F7" w:rsidRDefault="00CE097F" w:rsidP="00CE097F">
      <w:pPr>
        <w:pBdr>
          <w:top w:val="double" w:sz="4" w:space="1" w:color="943634" w:themeColor="accent2" w:themeShade="BF"/>
          <w:bottom w:val="double" w:sz="4" w:space="1" w:color="943634" w:themeColor="accent2" w:themeShade="BF"/>
        </w:pBdr>
        <w:jc w:val="both"/>
        <w:rPr>
          <w:rFonts w:ascii="Arial" w:hAnsi="Arial" w:cs="Arial"/>
          <w:sz w:val="20"/>
          <w:szCs w:val="20"/>
        </w:rPr>
      </w:pPr>
      <w:r w:rsidRPr="00C112F7">
        <w:rPr>
          <w:rFonts w:ascii="Arial" w:hAnsi="Arial" w:cs="Arial"/>
          <w:sz w:val="20"/>
          <w:szCs w:val="20"/>
        </w:rPr>
        <w:t>4.2</w:t>
      </w:r>
      <w:r w:rsidR="00B0749A" w:rsidRPr="00C112F7">
        <w:rPr>
          <w:rFonts w:ascii="Arial" w:hAnsi="Arial" w:cs="Arial"/>
          <w:sz w:val="20"/>
          <w:szCs w:val="20"/>
        </w:rPr>
        <w:t>.</w:t>
      </w:r>
      <w:r w:rsidR="008C1CFE" w:rsidRPr="00C112F7">
        <w:rPr>
          <w:rFonts w:ascii="Arial" w:hAnsi="Arial" w:cs="Arial"/>
          <w:sz w:val="20"/>
          <w:szCs w:val="20"/>
        </w:rPr>
        <w:t xml:space="preserve"> </w:t>
      </w:r>
      <w:r w:rsidR="00AE2324">
        <w:rPr>
          <w:rFonts w:ascii="Arial" w:hAnsi="Arial" w:cs="Arial"/>
          <w:sz w:val="20"/>
          <w:szCs w:val="20"/>
        </w:rPr>
        <w:t>Disponibilité de stocks NFI des Partenaires</w:t>
      </w:r>
    </w:p>
    <w:p w:rsidR="00E15F83" w:rsidRDefault="00E15F83" w:rsidP="00EE1D9A">
      <w:pPr>
        <w:jc w:val="both"/>
        <w:rPr>
          <w:rFonts w:ascii="Arial" w:hAnsi="Arial" w:cs="Arial"/>
          <w:sz w:val="20"/>
          <w:szCs w:val="20"/>
        </w:rPr>
      </w:pPr>
    </w:p>
    <w:p w:rsidR="00CE097F" w:rsidRDefault="00AE2324" w:rsidP="00EE1D9A">
      <w:pPr>
        <w:jc w:val="both"/>
        <w:rPr>
          <w:rFonts w:ascii="Arial" w:hAnsi="Arial" w:cs="Arial"/>
          <w:sz w:val="20"/>
          <w:szCs w:val="20"/>
        </w:rPr>
      </w:pPr>
      <w:r>
        <w:rPr>
          <w:rFonts w:ascii="Arial" w:hAnsi="Arial" w:cs="Arial"/>
          <w:sz w:val="20"/>
          <w:szCs w:val="20"/>
        </w:rPr>
        <w:t xml:space="preserve">Au stade actuel, les Partenaires du sous-Cluster disposent de très peu de kits NFI en stock. Certains partenaires vont contribuer à l’intervention sous d’autres formes : staffs, expérience, etc. </w:t>
      </w:r>
    </w:p>
    <w:p w:rsidR="00AE2324" w:rsidRDefault="00AE2324" w:rsidP="00EE1D9A">
      <w:pPr>
        <w:jc w:val="both"/>
        <w:rPr>
          <w:rFonts w:ascii="Arial" w:hAnsi="Arial" w:cs="Arial"/>
          <w:sz w:val="20"/>
          <w:szCs w:val="20"/>
        </w:rPr>
      </w:pPr>
    </w:p>
    <w:p w:rsidR="00AE2324" w:rsidRDefault="00AE2324" w:rsidP="00AE2324">
      <w:pPr>
        <w:pStyle w:val="ListParagraph"/>
        <w:numPr>
          <w:ilvl w:val="0"/>
          <w:numId w:val="26"/>
        </w:numPr>
        <w:jc w:val="both"/>
        <w:rPr>
          <w:rFonts w:ascii="Arial" w:hAnsi="Arial" w:cs="Arial"/>
          <w:sz w:val="20"/>
          <w:szCs w:val="20"/>
        </w:rPr>
      </w:pPr>
      <w:r>
        <w:rPr>
          <w:rFonts w:ascii="Arial" w:hAnsi="Arial" w:cs="Arial"/>
          <w:sz w:val="20"/>
          <w:szCs w:val="20"/>
        </w:rPr>
        <w:t xml:space="preserve">Help-Tchad : l’équipe Help-Tchad va discuter avec sa base au niveau de N’Djamena pour savoir ce qu’ils peuvent mettre à contribution pour l’intervention. Ils communiqueront au sous-Cluster le plus tôt possible cette contribution. </w:t>
      </w:r>
    </w:p>
    <w:p w:rsidR="00AE2324" w:rsidRDefault="00AE2324" w:rsidP="00AE2324">
      <w:pPr>
        <w:pStyle w:val="ListParagraph"/>
        <w:jc w:val="both"/>
        <w:rPr>
          <w:rFonts w:ascii="Arial" w:hAnsi="Arial" w:cs="Arial"/>
          <w:sz w:val="20"/>
          <w:szCs w:val="20"/>
        </w:rPr>
      </w:pPr>
    </w:p>
    <w:p w:rsidR="00AE2324" w:rsidRDefault="00AE2324" w:rsidP="00AE2324">
      <w:pPr>
        <w:pStyle w:val="ListParagraph"/>
        <w:numPr>
          <w:ilvl w:val="0"/>
          <w:numId w:val="26"/>
        </w:numPr>
        <w:jc w:val="both"/>
        <w:rPr>
          <w:rFonts w:ascii="Arial" w:hAnsi="Arial" w:cs="Arial"/>
          <w:sz w:val="20"/>
          <w:szCs w:val="20"/>
        </w:rPr>
      </w:pPr>
      <w:r>
        <w:rPr>
          <w:rFonts w:ascii="Arial" w:hAnsi="Arial" w:cs="Arial"/>
          <w:sz w:val="20"/>
          <w:szCs w:val="20"/>
        </w:rPr>
        <w:t xml:space="preserve">OxFam : l’équipe OxFam dispose de trois-cent (300) kits NFI pour cette intervention dont le contenu est : bidon de 20 l, sceau de 21 l, savons de 180 gr, bâches, sacanes de 5 l et gobelets de 1 l. </w:t>
      </w:r>
      <w:r w:rsidR="007158C3">
        <w:rPr>
          <w:rFonts w:ascii="Arial" w:hAnsi="Arial" w:cs="Arial"/>
          <w:sz w:val="20"/>
          <w:szCs w:val="20"/>
        </w:rPr>
        <w:t xml:space="preserve">Il faudra possiblement compléter ces kits pour respecter le standard. </w:t>
      </w:r>
    </w:p>
    <w:p w:rsidR="007158C3" w:rsidRPr="007158C3" w:rsidRDefault="007158C3" w:rsidP="007158C3">
      <w:pPr>
        <w:pStyle w:val="ListParagraph"/>
        <w:rPr>
          <w:rFonts w:ascii="Arial" w:hAnsi="Arial" w:cs="Arial"/>
          <w:sz w:val="20"/>
          <w:szCs w:val="20"/>
        </w:rPr>
      </w:pPr>
    </w:p>
    <w:p w:rsidR="007158C3" w:rsidRDefault="007158C3" w:rsidP="00AE2324">
      <w:pPr>
        <w:pStyle w:val="ListParagraph"/>
        <w:numPr>
          <w:ilvl w:val="0"/>
          <w:numId w:val="26"/>
        </w:numPr>
        <w:jc w:val="both"/>
        <w:rPr>
          <w:rFonts w:ascii="Arial" w:hAnsi="Arial" w:cs="Arial"/>
          <w:sz w:val="20"/>
          <w:szCs w:val="20"/>
        </w:rPr>
      </w:pPr>
      <w:r>
        <w:rPr>
          <w:rFonts w:ascii="Arial" w:hAnsi="Arial" w:cs="Arial"/>
          <w:sz w:val="20"/>
          <w:szCs w:val="20"/>
        </w:rPr>
        <w:lastRenderedPageBreak/>
        <w:t xml:space="preserve">Care International : l’équipe Care ne dispose pas de kits NFI en stock présentement. Ils vont se concerter pour décider de la façon dont ils vont contribuer à l’intervention. </w:t>
      </w:r>
    </w:p>
    <w:p w:rsidR="007158C3" w:rsidRPr="007158C3" w:rsidRDefault="007158C3" w:rsidP="007158C3">
      <w:pPr>
        <w:pStyle w:val="ListParagraph"/>
        <w:rPr>
          <w:rFonts w:ascii="Arial" w:hAnsi="Arial" w:cs="Arial"/>
          <w:sz w:val="20"/>
          <w:szCs w:val="20"/>
        </w:rPr>
      </w:pPr>
    </w:p>
    <w:p w:rsidR="007158C3" w:rsidRDefault="007158C3" w:rsidP="00AE2324">
      <w:pPr>
        <w:pStyle w:val="ListParagraph"/>
        <w:numPr>
          <w:ilvl w:val="0"/>
          <w:numId w:val="26"/>
        </w:numPr>
        <w:jc w:val="both"/>
        <w:rPr>
          <w:rFonts w:ascii="Arial" w:hAnsi="Arial" w:cs="Arial"/>
          <w:sz w:val="20"/>
          <w:szCs w:val="20"/>
        </w:rPr>
      </w:pPr>
      <w:r>
        <w:rPr>
          <w:rFonts w:ascii="Arial" w:hAnsi="Arial" w:cs="Arial"/>
          <w:sz w:val="20"/>
          <w:szCs w:val="20"/>
        </w:rPr>
        <w:t>ACF : l’ACF vient de finir leur programme RRM. Ils n’ont pas de kits NFI en stock pour l’instant.</w:t>
      </w:r>
    </w:p>
    <w:p w:rsidR="007158C3" w:rsidRPr="007158C3" w:rsidRDefault="007158C3" w:rsidP="007158C3">
      <w:pPr>
        <w:pStyle w:val="ListParagraph"/>
        <w:rPr>
          <w:rFonts w:ascii="Arial" w:hAnsi="Arial" w:cs="Arial"/>
          <w:sz w:val="20"/>
          <w:szCs w:val="20"/>
        </w:rPr>
      </w:pPr>
    </w:p>
    <w:p w:rsidR="007158C3" w:rsidRDefault="007158C3" w:rsidP="00AE2324">
      <w:pPr>
        <w:pStyle w:val="ListParagraph"/>
        <w:numPr>
          <w:ilvl w:val="0"/>
          <w:numId w:val="26"/>
        </w:numPr>
        <w:jc w:val="both"/>
        <w:rPr>
          <w:rFonts w:ascii="Arial" w:hAnsi="Arial" w:cs="Arial"/>
          <w:sz w:val="20"/>
          <w:szCs w:val="20"/>
        </w:rPr>
      </w:pPr>
      <w:r>
        <w:rPr>
          <w:rFonts w:ascii="Arial" w:hAnsi="Arial" w:cs="Arial"/>
          <w:sz w:val="20"/>
          <w:szCs w:val="20"/>
        </w:rPr>
        <w:t xml:space="preserve">OIM : l’OIM prévoit de faire une intervention en NFI au niveau de la Province du Lac de manière générale. Cette intervention ciblera les sites et les ménages les plus vulnérables. Il n’est pas encore décidé si l’OIM va contribuer à l’intervention sur Kaiga. Ils disposent de quatre-cent (400) kits </w:t>
      </w:r>
      <w:r w:rsidR="006401DA">
        <w:rPr>
          <w:rFonts w:ascii="Arial" w:hAnsi="Arial" w:cs="Arial"/>
          <w:sz w:val="20"/>
          <w:szCs w:val="20"/>
        </w:rPr>
        <w:t xml:space="preserve">NFI à distribuer avant Décembre. Ils donneront leur feedback quant à leur contribution sur Kaiga sous peu. </w:t>
      </w:r>
    </w:p>
    <w:p w:rsidR="006401DA" w:rsidRPr="006401DA" w:rsidRDefault="006401DA" w:rsidP="006401DA">
      <w:pPr>
        <w:pStyle w:val="ListParagraph"/>
        <w:rPr>
          <w:rFonts w:ascii="Arial" w:hAnsi="Arial" w:cs="Arial"/>
          <w:sz w:val="20"/>
          <w:szCs w:val="20"/>
        </w:rPr>
      </w:pPr>
    </w:p>
    <w:p w:rsidR="006401DA" w:rsidRDefault="006401DA" w:rsidP="00AE2324">
      <w:pPr>
        <w:pStyle w:val="ListParagraph"/>
        <w:numPr>
          <w:ilvl w:val="0"/>
          <w:numId w:val="26"/>
        </w:numPr>
        <w:jc w:val="both"/>
        <w:rPr>
          <w:rFonts w:ascii="Arial" w:hAnsi="Arial" w:cs="Arial"/>
          <w:sz w:val="20"/>
          <w:szCs w:val="20"/>
        </w:rPr>
      </w:pPr>
      <w:r>
        <w:rPr>
          <w:rFonts w:ascii="Arial" w:hAnsi="Arial" w:cs="Arial"/>
          <w:sz w:val="20"/>
          <w:szCs w:val="20"/>
        </w:rPr>
        <w:t>APSELPA : pas de kits NFI en stock. Ils vont mettre des ressources humaines à contribution</w:t>
      </w:r>
    </w:p>
    <w:p w:rsidR="006401DA" w:rsidRPr="006401DA" w:rsidRDefault="006401DA" w:rsidP="006401DA">
      <w:pPr>
        <w:pStyle w:val="ListParagraph"/>
        <w:rPr>
          <w:rFonts w:ascii="Arial" w:hAnsi="Arial" w:cs="Arial"/>
          <w:sz w:val="20"/>
          <w:szCs w:val="20"/>
        </w:rPr>
      </w:pPr>
    </w:p>
    <w:p w:rsidR="006401DA" w:rsidRDefault="006401DA" w:rsidP="00AE2324">
      <w:pPr>
        <w:pStyle w:val="ListParagraph"/>
        <w:numPr>
          <w:ilvl w:val="0"/>
          <w:numId w:val="26"/>
        </w:numPr>
        <w:jc w:val="both"/>
        <w:rPr>
          <w:rFonts w:ascii="Arial" w:hAnsi="Arial" w:cs="Arial"/>
          <w:sz w:val="20"/>
          <w:szCs w:val="20"/>
        </w:rPr>
      </w:pPr>
      <w:r>
        <w:rPr>
          <w:rFonts w:ascii="Arial" w:hAnsi="Arial" w:cs="Arial"/>
          <w:sz w:val="20"/>
          <w:szCs w:val="20"/>
        </w:rPr>
        <w:t>ACHDR : ils vont mettre leur expertise à contribution</w:t>
      </w:r>
    </w:p>
    <w:p w:rsidR="006401DA" w:rsidRPr="006401DA" w:rsidRDefault="006401DA" w:rsidP="006401DA">
      <w:pPr>
        <w:pStyle w:val="ListParagraph"/>
        <w:rPr>
          <w:rFonts w:ascii="Arial" w:hAnsi="Arial" w:cs="Arial"/>
          <w:sz w:val="20"/>
          <w:szCs w:val="20"/>
        </w:rPr>
      </w:pPr>
    </w:p>
    <w:p w:rsidR="006401DA" w:rsidRDefault="006401DA" w:rsidP="00AE2324">
      <w:pPr>
        <w:pStyle w:val="ListParagraph"/>
        <w:numPr>
          <w:ilvl w:val="0"/>
          <w:numId w:val="26"/>
        </w:numPr>
        <w:jc w:val="both"/>
        <w:rPr>
          <w:rFonts w:ascii="Arial" w:hAnsi="Arial" w:cs="Arial"/>
          <w:sz w:val="20"/>
          <w:szCs w:val="20"/>
        </w:rPr>
      </w:pPr>
      <w:r>
        <w:rPr>
          <w:rFonts w:ascii="Arial" w:hAnsi="Arial" w:cs="Arial"/>
          <w:sz w:val="20"/>
          <w:szCs w:val="20"/>
        </w:rPr>
        <w:t xml:space="preserve">HCR : le HCR dispose de quatre-vingt (80) Jerrycans, soixante-huit (68) bâches, 1,877 kits cuisine, 418 Couvertures, 80 sceaux, 5,146 nattes. Ces items doivent desservir à la fois les réfugiés et les IDPs. Apres discussion, le sous-Cluster saura de combien il peut disposer dans ce stock. </w:t>
      </w:r>
    </w:p>
    <w:p w:rsidR="006401DA" w:rsidRPr="006401DA" w:rsidRDefault="006401DA" w:rsidP="006401DA">
      <w:pPr>
        <w:pStyle w:val="ListParagraph"/>
        <w:rPr>
          <w:rFonts w:ascii="Arial" w:hAnsi="Arial" w:cs="Arial"/>
          <w:sz w:val="20"/>
          <w:szCs w:val="20"/>
        </w:rPr>
      </w:pPr>
    </w:p>
    <w:p w:rsidR="006401DA" w:rsidRDefault="006401DA" w:rsidP="00AE2324">
      <w:pPr>
        <w:pStyle w:val="ListParagraph"/>
        <w:numPr>
          <w:ilvl w:val="0"/>
          <w:numId w:val="26"/>
        </w:numPr>
        <w:jc w:val="both"/>
        <w:rPr>
          <w:rFonts w:ascii="Arial" w:hAnsi="Arial" w:cs="Arial"/>
          <w:sz w:val="20"/>
          <w:szCs w:val="20"/>
        </w:rPr>
      </w:pPr>
      <w:r>
        <w:rPr>
          <w:rFonts w:ascii="Arial" w:hAnsi="Arial" w:cs="Arial"/>
          <w:sz w:val="20"/>
          <w:szCs w:val="20"/>
        </w:rPr>
        <w:t>CRT : la CRT mettra des staffs à disposition</w:t>
      </w:r>
    </w:p>
    <w:p w:rsidR="00505125" w:rsidRPr="00505125" w:rsidRDefault="00505125" w:rsidP="00505125">
      <w:pPr>
        <w:pStyle w:val="ListParagraph"/>
        <w:rPr>
          <w:rFonts w:ascii="Arial" w:hAnsi="Arial" w:cs="Arial"/>
          <w:sz w:val="20"/>
          <w:szCs w:val="20"/>
        </w:rPr>
      </w:pPr>
    </w:p>
    <w:p w:rsidR="00505125" w:rsidRPr="00AE2324" w:rsidRDefault="00505125" w:rsidP="00505125">
      <w:pPr>
        <w:pStyle w:val="ListParagraph"/>
        <w:jc w:val="both"/>
        <w:rPr>
          <w:rFonts w:ascii="Arial" w:hAnsi="Arial" w:cs="Arial"/>
          <w:sz w:val="20"/>
          <w:szCs w:val="20"/>
        </w:rPr>
      </w:pPr>
    </w:p>
    <w:p w:rsidR="004433DA" w:rsidRPr="00C112F7" w:rsidRDefault="004433DA" w:rsidP="004433DA">
      <w:pPr>
        <w:jc w:val="both"/>
        <w:rPr>
          <w:rFonts w:ascii="Arial" w:hAnsi="Arial" w:cs="Arial"/>
          <w:sz w:val="20"/>
          <w:szCs w:val="20"/>
        </w:rPr>
      </w:pPr>
    </w:p>
    <w:p w:rsidR="004D0B74" w:rsidRPr="00C112F7" w:rsidRDefault="00BF33B0" w:rsidP="004D0B74">
      <w:pPr>
        <w:pBdr>
          <w:top w:val="double" w:sz="4" w:space="1" w:color="943634" w:themeColor="accent2" w:themeShade="BF"/>
          <w:bottom w:val="double" w:sz="4" w:space="1" w:color="943634" w:themeColor="accent2" w:themeShade="BF"/>
        </w:pBdr>
        <w:jc w:val="both"/>
        <w:rPr>
          <w:rFonts w:ascii="Arial" w:hAnsi="Arial" w:cs="Arial"/>
          <w:sz w:val="20"/>
          <w:szCs w:val="20"/>
        </w:rPr>
      </w:pPr>
      <w:r w:rsidRPr="00C112F7">
        <w:rPr>
          <w:rFonts w:ascii="Arial" w:hAnsi="Arial" w:cs="Arial"/>
          <w:sz w:val="20"/>
          <w:szCs w:val="20"/>
        </w:rPr>
        <w:t>4.3.</w:t>
      </w:r>
      <w:r w:rsidR="00B0749A" w:rsidRPr="00C112F7">
        <w:rPr>
          <w:rFonts w:ascii="Arial" w:hAnsi="Arial" w:cs="Arial"/>
          <w:sz w:val="20"/>
          <w:szCs w:val="20"/>
        </w:rPr>
        <w:t xml:space="preserve"> </w:t>
      </w:r>
      <w:r w:rsidR="006401DA">
        <w:rPr>
          <w:rFonts w:ascii="Arial" w:hAnsi="Arial" w:cs="Arial"/>
          <w:sz w:val="20"/>
          <w:szCs w:val="20"/>
        </w:rPr>
        <w:t>Planification de l’intervention</w:t>
      </w:r>
    </w:p>
    <w:p w:rsidR="00E15F83" w:rsidRDefault="00E15F83" w:rsidP="00980872">
      <w:pPr>
        <w:jc w:val="both"/>
        <w:rPr>
          <w:rFonts w:ascii="Arial" w:hAnsi="Arial" w:cs="Arial"/>
          <w:sz w:val="20"/>
          <w:szCs w:val="20"/>
        </w:rPr>
      </w:pPr>
    </w:p>
    <w:p w:rsidR="00980872" w:rsidRDefault="006401DA" w:rsidP="00980872">
      <w:pPr>
        <w:jc w:val="both"/>
        <w:rPr>
          <w:rFonts w:ascii="Arial" w:hAnsi="Arial" w:cs="Arial"/>
          <w:sz w:val="20"/>
          <w:szCs w:val="20"/>
        </w:rPr>
      </w:pPr>
      <w:r>
        <w:rPr>
          <w:rFonts w:ascii="Arial" w:hAnsi="Arial" w:cs="Arial"/>
          <w:sz w:val="20"/>
          <w:szCs w:val="20"/>
        </w:rPr>
        <w:t>On a fait une planification préliminaire. Lors de la prochaine réunion, on la peaufinera sous la base des communications qu’on aura reçues de certains des Partenaires. Pour l’instant, on s’est entendu sur ce qui suit :</w:t>
      </w:r>
    </w:p>
    <w:p w:rsidR="006401DA" w:rsidRDefault="006401DA" w:rsidP="00980872">
      <w:pPr>
        <w:jc w:val="both"/>
        <w:rPr>
          <w:rFonts w:ascii="Arial" w:hAnsi="Arial" w:cs="Arial"/>
          <w:sz w:val="20"/>
          <w:szCs w:val="20"/>
        </w:rPr>
      </w:pPr>
    </w:p>
    <w:p w:rsidR="00276DA4" w:rsidRDefault="00276DA4" w:rsidP="006401DA">
      <w:pPr>
        <w:pStyle w:val="ListParagraph"/>
        <w:numPr>
          <w:ilvl w:val="0"/>
          <w:numId w:val="27"/>
        </w:numPr>
        <w:jc w:val="both"/>
        <w:rPr>
          <w:rFonts w:ascii="Arial" w:hAnsi="Arial" w:cs="Arial"/>
          <w:sz w:val="20"/>
          <w:szCs w:val="20"/>
        </w:rPr>
      </w:pPr>
      <w:r>
        <w:rPr>
          <w:rFonts w:ascii="Arial" w:hAnsi="Arial" w:cs="Arial"/>
          <w:sz w:val="20"/>
          <w:szCs w:val="20"/>
        </w:rPr>
        <w:t xml:space="preserve">Six (6) équipes composées de cinq (5) staffs chacune vont procéder aux distributions. Nous serons donc trente (30) staffs à partir sur la zone. L’activité se fera en deux jours : le premier jour, on procèdera par un enregistrement des ménages ciblés (distribution de coupons). Le second jour, on fera les distributions de NFI. Il faudra donc passer une nuit à Kiskawa. </w:t>
      </w:r>
    </w:p>
    <w:p w:rsidR="00276DA4" w:rsidRDefault="00276DA4" w:rsidP="00276DA4">
      <w:pPr>
        <w:pStyle w:val="ListParagraph"/>
        <w:jc w:val="both"/>
        <w:rPr>
          <w:rFonts w:ascii="Arial" w:hAnsi="Arial" w:cs="Arial"/>
          <w:sz w:val="20"/>
          <w:szCs w:val="20"/>
        </w:rPr>
      </w:pPr>
    </w:p>
    <w:p w:rsidR="006401DA" w:rsidRDefault="00276DA4" w:rsidP="006401DA">
      <w:pPr>
        <w:pStyle w:val="ListParagraph"/>
        <w:numPr>
          <w:ilvl w:val="0"/>
          <w:numId w:val="27"/>
        </w:numPr>
        <w:jc w:val="both"/>
        <w:rPr>
          <w:rFonts w:ascii="Arial" w:hAnsi="Arial" w:cs="Arial"/>
          <w:sz w:val="20"/>
          <w:szCs w:val="20"/>
        </w:rPr>
      </w:pPr>
      <w:r>
        <w:rPr>
          <w:rFonts w:ascii="Arial" w:hAnsi="Arial" w:cs="Arial"/>
          <w:sz w:val="20"/>
          <w:szCs w:val="20"/>
        </w:rPr>
        <w:t>Répartition des staffs par Agence : à discuter lors de la prochaine réunion.</w:t>
      </w:r>
    </w:p>
    <w:p w:rsidR="00276DA4" w:rsidRPr="00276DA4" w:rsidRDefault="00276DA4" w:rsidP="00276DA4">
      <w:pPr>
        <w:pStyle w:val="ListParagraph"/>
        <w:rPr>
          <w:rFonts w:ascii="Arial" w:hAnsi="Arial" w:cs="Arial"/>
          <w:sz w:val="20"/>
          <w:szCs w:val="20"/>
        </w:rPr>
      </w:pPr>
    </w:p>
    <w:p w:rsidR="00276DA4" w:rsidRDefault="00276DA4" w:rsidP="006401DA">
      <w:pPr>
        <w:pStyle w:val="ListParagraph"/>
        <w:numPr>
          <w:ilvl w:val="0"/>
          <w:numId w:val="27"/>
        </w:numPr>
        <w:jc w:val="both"/>
        <w:rPr>
          <w:rFonts w:ascii="Arial" w:hAnsi="Arial" w:cs="Arial"/>
          <w:sz w:val="20"/>
          <w:szCs w:val="20"/>
        </w:rPr>
      </w:pPr>
      <w:r>
        <w:rPr>
          <w:rFonts w:ascii="Arial" w:hAnsi="Arial" w:cs="Arial"/>
          <w:sz w:val="20"/>
          <w:szCs w:val="20"/>
        </w:rPr>
        <w:t xml:space="preserve">Transport staffs : un véhicule par équipe. Donc, six (6) véhicules. Ce point est aussi à discuter lors de la prochaine rencontre : répartition de véhicule par Partenaire. </w:t>
      </w:r>
    </w:p>
    <w:p w:rsidR="00276DA4" w:rsidRPr="00276DA4" w:rsidRDefault="00276DA4" w:rsidP="00276DA4">
      <w:pPr>
        <w:pStyle w:val="ListParagraph"/>
        <w:rPr>
          <w:rFonts w:ascii="Arial" w:hAnsi="Arial" w:cs="Arial"/>
          <w:sz w:val="20"/>
          <w:szCs w:val="20"/>
        </w:rPr>
      </w:pPr>
    </w:p>
    <w:p w:rsidR="00276DA4" w:rsidRDefault="00276DA4" w:rsidP="006401DA">
      <w:pPr>
        <w:pStyle w:val="ListParagraph"/>
        <w:numPr>
          <w:ilvl w:val="0"/>
          <w:numId w:val="27"/>
        </w:numPr>
        <w:jc w:val="both"/>
        <w:rPr>
          <w:rFonts w:ascii="Arial" w:hAnsi="Arial" w:cs="Arial"/>
          <w:sz w:val="20"/>
          <w:szCs w:val="20"/>
        </w:rPr>
      </w:pPr>
      <w:r>
        <w:rPr>
          <w:rFonts w:ascii="Arial" w:hAnsi="Arial" w:cs="Arial"/>
          <w:sz w:val="20"/>
          <w:szCs w:val="20"/>
        </w:rPr>
        <w:t xml:space="preserve">Transport des NFI : le HCR va voir avec l’AIRD pour disposition d’un camion. D’autres partenaires comme le CICR vont être aussi contactés pour support en ce sens. </w:t>
      </w:r>
    </w:p>
    <w:p w:rsidR="00276DA4" w:rsidRPr="00276DA4" w:rsidRDefault="00276DA4" w:rsidP="00276DA4">
      <w:pPr>
        <w:pStyle w:val="ListParagraph"/>
        <w:rPr>
          <w:rFonts w:ascii="Arial" w:hAnsi="Arial" w:cs="Arial"/>
          <w:sz w:val="20"/>
          <w:szCs w:val="20"/>
        </w:rPr>
      </w:pPr>
    </w:p>
    <w:p w:rsidR="00276DA4" w:rsidRDefault="00276DA4" w:rsidP="006401DA">
      <w:pPr>
        <w:pStyle w:val="ListParagraph"/>
        <w:numPr>
          <w:ilvl w:val="0"/>
          <w:numId w:val="27"/>
        </w:numPr>
        <w:jc w:val="both"/>
        <w:rPr>
          <w:rFonts w:ascii="Arial" w:hAnsi="Arial" w:cs="Arial"/>
          <w:sz w:val="20"/>
          <w:szCs w:val="20"/>
        </w:rPr>
      </w:pPr>
      <w:r>
        <w:rPr>
          <w:rFonts w:ascii="Arial" w:hAnsi="Arial" w:cs="Arial"/>
          <w:sz w:val="20"/>
          <w:szCs w:val="20"/>
        </w:rPr>
        <w:t xml:space="preserve">Logement à Kiskawa : ACF a une sous-base dans la zone qui peut héberger quinze (15) personnes dans 3 chambres. La cour de la base peut contenir jusqu’à trente (30) personnes. </w:t>
      </w:r>
      <w:r w:rsidR="00622603">
        <w:rPr>
          <w:rFonts w:ascii="Arial" w:hAnsi="Arial" w:cs="Arial"/>
          <w:sz w:val="20"/>
          <w:szCs w:val="20"/>
        </w:rPr>
        <w:t xml:space="preserve">Les staffs auront donc besoin d’emmener des couchages avec eux. Le Représentant du Chef de canton peut aussi héberger des staffs. On le contactera à ce sujet. </w:t>
      </w:r>
    </w:p>
    <w:p w:rsidR="00622603" w:rsidRPr="00622603" w:rsidRDefault="00622603" w:rsidP="00622603">
      <w:pPr>
        <w:pStyle w:val="ListParagraph"/>
        <w:rPr>
          <w:rFonts w:ascii="Arial" w:hAnsi="Arial" w:cs="Arial"/>
          <w:sz w:val="20"/>
          <w:szCs w:val="20"/>
        </w:rPr>
      </w:pPr>
    </w:p>
    <w:p w:rsidR="00622603" w:rsidRPr="006401DA" w:rsidRDefault="00622603" w:rsidP="006401DA">
      <w:pPr>
        <w:pStyle w:val="ListParagraph"/>
        <w:numPr>
          <w:ilvl w:val="0"/>
          <w:numId w:val="27"/>
        </w:numPr>
        <w:jc w:val="both"/>
        <w:rPr>
          <w:rFonts w:ascii="Arial" w:hAnsi="Arial" w:cs="Arial"/>
          <w:sz w:val="20"/>
          <w:szCs w:val="20"/>
        </w:rPr>
      </w:pPr>
      <w:r>
        <w:rPr>
          <w:rFonts w:ascii="Arial" w:hAnsi="Arial" w:cs="Arial"/>
          <w:sz w:val="20"/>
          <w:szCs w:val="20"/>
        </w:rPr>
        <w:t xml:space="preserve">Accès à la zone : selon les avis d’OCHA, il faut y aller avec escorte. Il y a une base militaire qui est en train d’être mise en place là-bas. On aura beaucoup plus de détails et de précision au cours de la prochaine rencontre. En effet ces questions seront discutées lors de la CIMCORD le lendemain. </w:t>
      </w:r>
    </w:p>
    <w:p w:rsidR="005F55A5" w:rsidRPr="00C112F7" w:rsidRDefault="005F55A5" w:rsidP="00980872">
      <w:pPr>
        <w:jc w:val="both"/>
        <w:rPr>
          <w:rFonts w:ascii="Arial" w:hAnsi="Arial" w:cs="Arial"/>
          <w:sz w:val="20"/>
          <w:szCs w:val="20"/>
        </w:rPr>
      </w:pPr>
    </w:p>
    <w:p w:rsidR="00980872" w:rsidRPr="00C112F7" w:rsidRDefault="00B0749A" w:rsidP="00980872">
      <w:pPr>
        <w:pBdr>
          <w:top w:val="double" w:sz="4" w:space="1" w:color="943634" w:themeColor="accent2" w:themeShade="BF"/>
          <w:bottom w:val="double" w:sz="4" w:space="1" w:color="943634" w:themeColor="accent2" w:themeShade="BF"/>
        </w:pBdr>
        <w:jc w:val="both"/>
        <w:rPr>
          <w:rFonts w:ascii="Arial" w:hAnsi="Arial" w:cs="Arial"/>
          <w:sz w:val="20"/>
          <w:szCs w:val="20"/>
        </w:rPr>
      </w:pPr>
      <w:r w:rsidRPr="00C112F7">
        <w:rPr>
          <w:rFonts w:ascii="Arial" w:hAnsi="Arial" w:cs="Arial"/>
          <w:sz w:val="20"/>
          <w:szCs w:val="20"/>
        </w:rPr>
        <w:t>4.4.</w:t>
      </w:r>
      <w:r w:rsidR="00C20B36" w:rsidRPr="00C112F7">
        <w:rPr>
          <w:rFonts w:ascii="Arial" w:hAnsi="Arial" w:cs="Arial"/>
          <w:sz w:val="20"/>
          <w:szCs w:val="20"/>
        </w:rPr>
        <w:t xml:space="preserve"> </w:t>
      </w:r>
      <w:r w:rsidR="00E15F83">
        <w:rPr>
          <w:rFonts w:ascii="Arial" w:hAnsi="Arial" w:cs="Arial"/>
          <w:sz w:val="20"/>
          <w:szCs w:val="20"/>
        </w:rPr>
        <w:t xml:space="preserve">Divers </w:t>
      </w:r>
      <w:r w:rsidR="00622603">
        <w:rPr>
          <w:rFonts w:ascii="Arial" w:hAnsi="Arial" w:cs="Arial"/>
          <w:sz w:val="20"/>
          <w:szCs w:val="20"/>
        </w:rPr>
        <w:t>…</w:t>
      </w:r>
    </w:p>
    <w:p w:rsidR="00980872" w:rsidRPr="00C112F7" w:rsidRDefault="00980872" w:rsidP="00980872">
      <w:pPr>
        <w:jc w:val="both"/>
        <w:rPr>
          <w:rFonts w:ascii="Arial" w:hAnsi="Arial" w:cs="Arial"/>
          <w:sz w:val="20"/>
          <w:szCs w:val="20"/>
        </w:rPr>
      </w:pPr>
    </w:p>
    <w:p w:rsidR="00622603" w:rsidRDefault="00622603" w:rsidP="00622603">
      <w:pPr>
        <w:pStyle w:val="ListParagraph"/>
        <w:numPr>
          <w:ilvl w:val="0"/>
          <w:numId w:val="25"/>
        </w:numPr>
        <w:jc w:val="both"/>
        <w:rPr>
          <w:rFonts w:ascii="Arial" w:hAnsi="Arial" w:cs="Arial"/>
          <w:sz w:val="20"/>
          <w:szCs w:val="20"/>
        </w:rPr>
      </w:pPr>
      <w:r>
        <w:rPr>
          <w:rFonts w:ascii="Arial" w:hAnsi="Arial" w:cs="Arial"/>
          <w:sz w:val="20"/>
          <w:szCs w:val="20"/>
        </w:rPr>
        <w:t>Il a été souligné un manque d’engagement de certains partenaires aux mécanismes de coordination du sous-Cluster, et les impacts négatifs que cela a sur les opérations sur le terrain.</w:t>
      </w:r>
    </w:p>
    <w:p w:rsidR="00622603" w:rsidRDefault="00622603" w:rsidP="00622603">
      <w:pPr>
        <w:pStyle w:val="ListParagraph"/>
        <w:jc w:val="both"/>
        <w:rPr>
          <w:rFonts w:ascii="Arial" w:hAnsi="Arial" w:cs="Arial"/>
          <w:sz w:val="20"/>
          <w:szCs w:val="20"/>
        </w:rPr>
      </w:pPr>
    </w:p>
    <w:p w:rsidR="00947689" w:rsidRPr="00505125" w:rsidRDefault="00622603" w:rsidP="00F40B48">
      <w:pPr>
        <w:pStyle w:val="ListParagraph"/>
        <w:numPr>
          <w:ilvl w:val="0"/>
          <w:numId w:val="25"/>
        </w:numPr>
        <w:jc w:val="both"/>
        <w:rPr>
          <w:rFonts w:ascii="Arial" w:hAnsi="Arial" w:cs="Arial"/>
          <w:sz w:val="20"/>
          <w:szCs w:val="20"/>
        </w:rPr>
      </w:pPr>
      <w:r>
        <w:rPr>
          <w:rFonts w:ascii="Arial" w:hAnsi="Arial" w:cs="Arial"/>
          <w:sz w:val="20"/>
          <w:szCs w:val="20"/>
        </w:rPr>
        <w:t xml:space="preserve">Il a été recommandé que le sous-Cluster soit plus pro-actif. </w:t>
      </w:r>
    </w:p>
    <w:p w:rsidR="00F45611" w:rsidRPr="00C112F7" w:rsidRDefault="00F45611" w:rsidP="00F40B48">
      <w:pPr>
        <w:shd w:val="clear" w:color="auto" w:fill="943634" w:themeFill="accent2" w:themeFillShade="BF"/>
        <w:jc w:val="both"/>
        <w:rPr>
          <w:rFonts w:ascii="Arial" w:hAnsi="Arial" w:cs="Arial"/>
          <w:color w:val="FFFFFF" w:themeColor="background1"/>
          <w:sz w:val="20"/>
          <w:szCs w:val="20"/>
        </w:rPr>
      </w:pPr>
      <w:r w:rsidRPr="00C112F7">
        <w:rPr>
          <w:rFonts w:ascii="Arial" w:hAnsi="Arial" w:cs="Arial"/>
          <w:color w:val="FFFFFF" w:themeColor="background1"/>
          <w:sz w:val="20"/>
          <w:szCs w:val="20"/>
        </w:rPr>
        <w:lastRenderedPageBreak/>
        <w:t xml:space="preserve">5. </w:t>
      </w:r>
      <w:r w:rsidR="00D465FF" w:rsidRPr="00C112F7">
        <w:rPr>
          <w:rFonts w:ascii="Arial" w:hAnsi="Arial" w:cs="Arial"/>
          <w:color w:val="FFFFFF" w:themeColor="background1"/>
          <w:sz w:val="20"/>
          <w:szCs w:val="20"/>
        </w:rPr>
        <w:t>Prochaine réunion</w:t>
      </w:r>
    </w:p>
    <w:p w:rsidR="00505125" w:rsidRDefault="00505125"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p w:rsidR="00947689" w:rsidRPr="00C112F7" w:rsidRDefault="00505125"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bookmarkStart w:id="0" w:name="_GoBack"/>
      <w:bookmarkEnd w:id="0"/>
      <w:r>
        <w:rPr>
          <w:rFonts w:ascii="Arial" w:hAnsi="Arial" w:cs="Arial"/>
          <w:sz w:val="20"/>
          <w:szCs w:val="20"/>
        </w:rPr>
        <w:t xml:space="preserve">La prochaine réunion est prévue pour Jeudi 25 Octobre 2018 au Bureau du HCR. </w:t>
      </w:r>
    </w:p>
    <w:p w:rsidR="00947689" w:rsidRPr="00C112F7" w:rsidRDefault="00947689"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sectPr w:rsidR="00947689" w:rsidRPr="00C112F7" w:rsidSect="00A11DD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6C" w:rsidRDefault="00180A6C" w:rsidP="008032DD">
      <w:r>
        <w:separator/>
      </w:r>
    </w:p>
  </w:endnote>
  <w:endnote w:type="continuationSeparator" w:id="0">
    <w:p w:rsidR="00180A6C" w:rsidRDefault="00180A6C" w:rsidP="008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180A6C">
    <w:pPr>
      <w:pStyle w:val="Footer"/>
    </w:pPr>
    <w:hyperlink r:id="rId1" w:history="1">
      <w:r w:rsidR="00A34D44" w:rsidRPr="00E97FA7">
        <w:rPr>
          <w:rStyle w:val="Hyperlink"/>
        </w:rPr>
        <w:t>https://www.sheltercluster.org/response/chad</w:t>
      </w:r>
    </w:hyperlink>
  </w:p>
  <w:p w:rsidR="00A34D44" w:rsidRDefault="00A34D44">
    <w:pPr>
      <w:pStyle w:val="Footer"/>
    </w:pPr>
  </w:p>
  <w:p w:rsidR="00A34D44" w:rsidRDefault="00A34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6C" w:rsidRDefault="00180A6C" w:rsidP="008032DD">
      <w:r>
        <w:separator/>
      </w:r>
    </w:p>
  </w:footnote>
  <w:footnote w:type="continuationSeparator" w:id="0">
    <w:p w:rsidR="00180A6C" w:rsidRDefault="00180A6C" w:rsidP="0080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6D34"/>
    <w:multiLevelType w:val="hybridMultilevel"/>
    <w:tmpl w:val="2A16E1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561B16"/>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7E43E7"/>
    <w:multiLevelType w:val="hybridMultilevel"/>
    <w:tmpl w:val="737A9D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9A277FE"/>
    <w:multiLevelType w:val="hybridMultilevel"/>
    <w:tmpl w:val="4196ACC0"/>
    <w:lvl w:ilvl="0" w:tplc="CB3693C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CA7400"/>
    <w:multiLevelType w:val="hybridMultilevel"/>
    <w:tmpl w:val="E2E04F16"/>
    <w:lvl w:ilvl="0" w:tplc="DACC53B6">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D76DF4"/>
    <w:multiLevelType w:val="hybridMultilevel"/>
    <w:tmpl w:val="5E6CB7FC"/>
    <w:lvl w:ilvl="0" w:tplc="4F721712">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1D6E30"/>
    <w:multiLevelType w:val="hybridMultilevel"/>
    <w:tmpl w:val="308CE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786681"/>
    <w:multiLevelType w:val="hybridMultilevel"/>
    <w:tmpl w:val="5E5AF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0D20F9"/>
    <w:multiLevelType w:val="hybridMultilevel"/>
    <w:tmpl w:val="54A0E6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D57820"/>
    <w:multiLevelType w:val="hybridMultilevel"/>
    <w:tmpl w:val="48B00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E128AA"/>
    <w:multiLevelType w:val="hybridMultilevel"/>
    <w:tmpl w:val="6C2EA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8A2532B"/>
    <w:multiLevelType w:val="hybridMultilevel"/>
    <w:tmpl w:val="D3920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A5C1FA4"/>
    <w:multiLevelType w:val="hybridMultilevel"/>
    <w:tmpl w:val="CBBEB7EC"/>
    <w:lvl w:ilvl="0" w:tplc="F2C0710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3D33DC"/>
    <w:multiLevelType w:val="hybridMultilevel"/>
    <w:tmpl w:val="71CC0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330FFA"/>
    <w:multiLevelType w:val="hybridMultilevel"/>
    <w:tmpl w:val="50785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75E295A"/>
    <w:multiLevelType w:val="hybridMultilevel"/>
    <w:tmpl w:val="52D8C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E1717A"/>
    <w:multiLevelType w:val="hybridMultilevel"/>
    <w:tmpl w:val="B2F63F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05B7FB3"/>
    <w:multiLevelType w:val="hybridMultilevel"/>
    <w:tmpl w:val="C2188B9C"/>
    <w:lvl w:ilvl="0" w:tplc="CDD4F850">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C431F9"/>
    <w:multiLevelType w:val="hybridMultilevel"/>
    <w:tmpl w:val="9B86C924"/>
    <w:lvl w:ilvl="0" w:tplc="41A27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F4A5256"/>
    <w:multiLevelType w:val="hybridMultilevel"/>
    <w:tmpl w:val="5AC48FA8"/>
    <w:lvl w:ilvl="0" w:tplc="AC7ED544">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0624B5E"/>
    <w:multiLevelType w:val="hybridMultilevel"/>
    <w:tmpl w:val="266C5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FA85D73"/>
    <w:multiLevelType w:val="hybridMultilevel"/>
    <w:tmpl w:val="B1187D22"/>
    <w:lvl w:ilvl="0" w:tplc="AE9876F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0E138BE"/>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7D7466"/>
    <w:multiLevelType w:val="hybridMultilevel"/>
    <w:tmpl w:val="8F809D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86D359C"/>
    <w:multiLevelType w:val="hybridMultilevel"/>
    <w:tmpl w:val="8222C45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nsid w:val="7CE359C5"/>
    <w:multiLevelType w:val="hybridMultilevel"/>
    <w:tmpl w:val="8CC02D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FB62D12"/>
    <w:multiLevelType w:val="hybridMultilevel"/>
    <w:tmpl w:val="5E3204E8"/>
    <w:lvl w:ilvl="0" w:tplc="46B2929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23"/>
  </w:num>
  <w:num w:numId="2">
    <w:abstractNumId w:val="12"/>
  </w:num>
  <w:num w:numId="3">
    <w:abstractNumId w:val="4"/>
  </w:num>
  <w:num w:numId="4">
    <w:abstractNumId w:val="3"/>
  </w:num>
  <w:num w:numId="5">
    <w:abstractNumId w:val="21"/>
  </w:num>
  <w:num w:numId="6">
    <w:abstractNumId w:val="26"/>
  </w:num>
  <w:num w:numId="7">
    <w:abstractNumId w:val="5"/>
  </w:num>
  <w:num w:numId="8">
    <w:abstractNumId w:val="17"/>
  </w:num>
  <w:num w:numId="9">
    <w:abstractNumId w:val="10"/>
  </w:num>
  <w:num w:numId="10">
    <w:abstractNumId w:val="6"/>
  </w:num>
  <w:num w:numId="11">
    <w:abstractNumId w:val="8"/>
  </w:num>
  <w:num w:numId="12">
    <w:abstractNumId w:val="1"/>
  </w:num>
  <w:num w:numId="13">
    <w:abstractNumId w:val="2"/>
  </w:num>
  <w:num w:numId="14">
    <w:abstractNumId w:val="14"/>
  </w:num>
  <w:num w:numId="15">
    <w:abstractNumId w:val="11"/>
  </w:num>
  <w:num w:numId="16">
    <w:abstractNumId w:val="9"/>
  </w:num>
  <w:num w:numId="17">
    <w:abstractNumId w:val="7"/>
  </w:num>
  <w:num w:numId="18">
    <w:abstractNumId w:val="20"/>
  </w:num>
  <w:num w:numId="19">
    <w:abstractNumId w:val="19"/>
  </w:num>
  <w:num w:numId="20">
    <w:abstractNumId w:val="13"/>
  </w:num>
  <w:num w:numId="21">
    <w:abstractNumId w:val="15"/>
  </w:num>
  <w:num w:numId="22">
    <w:abstractNumId w:val="22"/>
  </w:num>
  <w:num w:numId="23">
    <w:abstractNumId w:val="1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F4"/>
    <w:rsid w:val="000060DE"/>
    <w:rsid w:val="000960FA"/>
    <w:rsid w:val="000A14F2"/>
    <w:rsid w:val="000B7FFE"/>
    <w:rsid w:val="000E3785"/>
    <w:rsid w:val="00104A4B"/>
    <w:rsid w:val="00116F93"/>
    <w:rsid w:val="00180A6C"/>
    <w:rsid w:val="001B6CFC"/>
    <w:rsid w:val="001B6F6B"/>
    <w:rsid w:val="001C0D36"/>
    <w:rsid w:val="00270C65"/>
    <w:rsid w:val="00276DA4"/>
    <w:rsid w:val="002B7B63"/>
    <w:rsid w:val="002E250F"/>
    <w:rsid w:val="003156B4"/>
    <w:rsid w:val="003248AD"/>
    <w:rsid w:val="00325116"/>
    <w:rsid w:val="00335A27"/>
    <w:rsid w:val="003D1A9D"/>
    <w:rsid w:val="004433DA"/>
    <w:rsid w:val="004465E1"/>
    <w:rsid w:val="00455D91"/>
    <w:rsid w:val="004A1EF1"/>
    <w:rsid w:val="004A494F"/>
    <w:rsid w:val="004D0B74"/>
    <w:rsid w:val="004D469B"/>
    <w:rsid w:val="00505125"/>
    <w:rsid w:val="00514B45"/>
    <w:rsid w:val="00533BAD"/>
    <w:rsid w:val="00536EF1"/>
    <w:rsid w:val="0057243F"/>
    <w:rsid w:val="005D6262"/>
    <w:rsid w:val="005F460A"/>
    <w:rsid w:val="005F55A5"/>
    <w:rsid w:val="00600122"/>
    <w:rsid w:val="00614122"/>
    <w:rsid w:val="00622603"/>
    <w:rsid w:val="006258AA"/>
    <w:rsid w:val="006401DA"/>
    <w:rsid w:val="006C7D3C"/>
    <w:rsid w:val="006D2DFD"/>
    <w:rsid w:val="007158C3"/>
    <w:rsid w:val="00716AF3"/>
    <w:rsid w:val="007234C9"/>
    <w:rsid w:val="00771A18"/>
    <w:rsid w:val="00771FC1"/>
    <w:rsid w:val="007A3FF5"/>
    <w:rsid w:val="007D12AE"/>
    <w:rsid w:val="007D3EF4"/>
    <w:rsid w:val="008032DD"/>
    <w:rsid w:val="00862DB6"/>
    <w:rsid w:val="00866106"/>
    <w:rsid w:val="00873FD9"/>
    <w:rsid w:val="00884B88"/>
    <w:rsid w:val="008C1CFE"/>
    <w:rsid w:val="008D0EF3"/>
    <w:rsid w:val="008F599B"/>
    <w:rsid w:val="0090346C"/>
    <w:rsid w:val="009117E7"/>
    <w:rsid w:val="0094263D"/>
    <w:rsid w:val="00947689"/>
    <w:rsid w:val="00980872"/>
    <w:rsid w:val="00993DD6"/>
    <w:rsid w:val="0099426A"/>
    <w:rsid w:val="009A57E3"/>
    <w:rsid w:val="009B382C"/>
    <w:rsid w:val="00A03CCC"/>
    <w:rsid w:val="00A11DD0"/>
    <w:rsid w:val="00A16D11"/>
    <w:rsid w:val="00A34D44"/>
    <w:rsid w:val="00AA757A"/>
    <w:rsid w:val="00AB42DA"/>
    <w:rsid w:val="00AB70EE"/>
    <w:rsid w:val="00AC46D4"/>
    <w:rsid w:val="00AE2324"/>
    <w:rsid w:val="00AF0CE4"/>
    <w:rsid w:val="00AF2495"/>
    <w:rsid w:val="00B0749A"/>
    <w:rsid w:val="00B6514C"/>
    <w:rsid w:val="00B84CAD"/>
    <w:rsid w:val="00BD5C4D"/>
    <w:rsid w:val="00BE7BC3"/>
    <w:rsid w:val="00BF33B0"/>
    <w:rsid w:val="00BF78FF"/>
    <w:rsid w:val="00C112F7"/>
    <w:rsid w:val="00C20B36"/>
    <w:rsid w:val="00C509DE"/>
    <w:rsid w:val="00C52024"/>
    <w:rsid w:val="00CD05F6"/>
    <w:rsid w:val="00CE0470"/>
    <w:rsid w:val="00CE097F"/>
    <w:rsid w:val="00D011DB"/>
    <w:rsid w:val="00D15ED4"/>
    <w:rsid w:val="00D31037"/>
    <w:rsid w:val="00D465FF"/>
    <w:rsid w:val="00D472E8"/>
    <w:rsid w:val="00D703A7"/>
    <w:rsid w:val="00D72AD9"/>
    <w:rsid w:val="00DA3D81"/>
    <w:rsid w:val="00DC5963"/>
    <w:rsid w:val="00E15F83"/>
    <w:rsid w:val="00E24EA3"/>
    <w:rsid w:val="00E26933"/>
    <w:rsid w:val="00E379B9"/>
    <w:rsid w:val="00E43A4C"/>
    <w:rsid w:val="00E92F77"/>
    <w:rsid w:val="00EC01CB"/>
    <w:rsid w:val="00EC5CA4"/>
    <w:rsid w:val="00EE1D9A"/>
    <w:rsid w:val="00EE34B7"/>
    <w:rsid w:val="00F40B48"/>
    <w:rsid w:val="00F45611"/>
    <w:rsid w:val="00F733ED"/>
    <w:rsid w:val="00FB45DA"/>
    <w:rsid w:val="00FD679F"/>
    <w:rsid w:val="00FE27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FFD6FDC-BE0B-4A22-8F54-22BE278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872"/>
  </w:style>
  <w:style w:type="paragraph" w:styleId="Heading1">
    <w:name w:val="heading 1"/>
    <w:basedOn w:val="Normal"/>
    <w:next w:val="Normal"/>
    <w:link w:val="Heading1Char"/>
    <w:uiPriority w:val="9"/>
    <w:qFormat/>
    <w:rsid w:val="007D3E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62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62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62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62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F4"/>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D3E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EF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D3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EF4"/>
    <w:rPr>
      <w:rFonts w:ascii="Lucida Grande" w:hAnsi="Lucida Grande" w:cs="Lucida Grande"/>
      <w:sz w:val="18"/>
      <w:szCs w:val="18"/>
    </w:rPr>
  </w:style>
  <w:style w:type="character" w:customStyle="1" w:styleId="Heading2Char">
    <w:name w:val="Heading 2 Char"/>
    <w:basedOn w:val="DefaultParagraphFont"/>
    <w:link w:val="Heading2"/>
    <w:uiPriority w:val="9"/>
    <w:rsid w:val="005D62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626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5D62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6262"/>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5D6262"/>
    <w:rPr>
      <w:i/>
      <w:iCs/>
      <w:color w:val="808080" w:themeColor="text1" w:themeTint="7F"/>
    </w:rPr>
  </w:style>
  <w:style w:type="character" w:styleId="Emphasis">
    <w:name w:val="Emphasis"/>
    <w:basedOn w:val="DefaultParagraphFont"/>
    <w:uiPriority w:val="20"/>
    <w:qFormat/>
    <w:rsid w:val="005D6262"/>
    <w:rPr>
      <w:i/>
      <w:iCs/>
    </w:rPr>
  </w:style>
  <w:style w:type="paragraph" w:styleId="IntenseQuote">
    <w:name w:val="Intense Quote"/>
    <w:basedOn w:val="Normal"/>
    <w:next w:val="Normal"/>
    <w:link w:val="IntenseQuoteChar"/>
    <w:uiPriority w:val="30"/>
    <w:qFormat/>
    <w:rsid w:val="005D62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6262"/>
    <w:rPr>
      <w:b/>
      <w:bCs/>
      <w:i/>
      <w:iCs/>
      <w:color w:val="4F81BD" w:themeColor="accent1"/>
    </w:rPr>
  </w:style>
  <w:style w:type="paragraph" w:styleId="Quote">
    <w:name w:val="Quote"/>
    <w:basedOn w:val="Normal"/>
    <w:next w:val="Normal"/>
    <w:link w:val="QuoteChar"/>
    <w:uiPriority w:val="29"/>
    <w:qFormat/>
    <w:rsid w:val="005D6262"/>
    <w:rPr>
      <w:i/>
      <w:iCs/>
      <w:color w:val="000000" w:themeColor="text1"/>
    </w:rPr>
  </w:style>
  <w:style w:type="character" w:customStyle="1" w:styleId="QuoteChar">
    <w:name w:val="Quote Char"/>
    <w:basedOn w:val="DefaultParagraphFont"/>
    <w:link w:val="Quote"/>
    <w:uiPriority w:val="29"/>
    <w:rsid w:val="005D6262"/>
    <w:rPr>
      <w:i/>
      <w:iCs/>
      <w:color w:val="000000" w:themeColor="text1"/>
    </w:rPr>
  </w:style>
  <w:style w:type="character" w:styleId="Strong">
    <w:name w:val="Strong"/>
    <w:basedOn w:val="DefaultParagraphFont"/>
    <w:uiPriority w:val="22"/>
    <w:qFormat/>
    <w:rsid w:val="005D6262"/>
    <w:rPr>
      <w:b/>
      <w:bCs/>
    </w:rPr>
  </w:style>
  <w:style w:type="character" w:styleId="IntenseEmphasis">
    <w:name w:val="Intense Emphasis"/>
    <w:basedOn w:val="DefaultParagraphFont"/>
    <w:uiPriority w:val="21"/>
    <w:qFormat/>
    <w:rsid w:val="005D6262"/>
  </w:style>
  <w:style w:type="character" w:customStyle="1" w:styleId="Heading4Char">
    <w:name w:val="Heading 4 Char"/>
    <w:basedOn w:val="DefaultParagraphFont"/>
    <w:link w:val="Heading4"/>
    <w:uiPriority w:val="9"/>
    <w:rsid w:val="005D626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D6262"/>
    <w:pPr>
      <w:ind w:left="720"/>
      <w:contextualSpacing/>
    </w:pPr>
  </w:style>
  <w:style w:type="character" w:customStyle="1" w:styleId="Heading5Char">
    <w:name w:val="Heading 5 Char"/>
    <w:basedOn w:val="DefaultParagraphFont"/>
    <w:link w:val="Heading5"/>
    <w:uiPriority w:val="9"/>
    <w:rsid w:val="005D6262"/>
    <w:rPr>
      <w:rFonts w:asciiTheme="majorHAnsi" w:eastAsiaTheme="majorEastAsia" w:hAnsiTheme="majorHAnsi" w:cstheme="majorBidi"/>
      <w:color w:val="243F60" w:themeColor="accent1" w:themeShade="7F"/>
    </w:rPr>
  </w:style>
  <w:style w:type="paragraph" w:styleId="NoSpacing">
    <w:name w:val="No Spacing"/>
    <w:uiPriority w:val="1"/>
    <w:qFormat/>
    <w:rsid w:val="009117E7"/>
  </w:style>
  <w:style w:type="character" w:styleId="Hyperlink">
    <w:name w:val="Hyperlink"/>
    <w:basedOn w:val="DefaultParagraphFont"/>
    <w:uiPriority w:val="99"/>
    <w:unhideWhenUsed/>
    <w:rsid w:val="008032DD"/>
    <w:rPr>
      <w:color w:val="0000FF" w:themeColor="hyperlink"/>
      <w:u w:val="single"/>
    </w:rPr>
  </w:style>
  <w:style w:type="paragraph" w:styleId="Header">
    <w:name w:val="header"/>
    <w:basedOn w:val="Normal"/>
    <w:link w:val="HeaderChar"/>
    <w:uiPriority w:val="99"/>
    <w:unhideWhenUsed/>
    <w:rsid w:val="008032DD"/>
    <w:pPr>
      <w:tabs>
        <w:tab w:val="center" w:pos="4513"/>
        <w:tab w:val="right" w:pos="9026"/>
      </w:tabs>
    </w:pPr>
  </w:style>
  <w:style w:type="character" w:customStyle="1" w:styleId="HeaderChar">
    <w:name w:val="Header Char"/>
    <w:basedOn w:val="DefaultParagraphFont"/>
    <w:link w:val="Header"/>
    <w:uiPriority w:val="99"/>
    <w:rsid w:val="008032DD"/>
  </w:style>
  <w:style w:type="paragraph" w:styleId="Footer">
    <w:name w:val="footer"/>
    <w:basedOn w:val="Normal"/>
    <w:link w:val="FooterChar"/>
    <w:uiPriority w:val="99"/>
    <w:unhideWhenUsed/>
    <w:rsid w:val="008032DD"/>
    <w:pPr>
      <w:tabs>
        <w:tab w:val="center" w:pos="4513"/>
        <w:tab w:val="right" w:pos="9026"/>
      </w:tabs>
    </w:pPr>
  </w:style>
  <w:style w:type="character" w:customStyle="1" w:styleId="FooterChar">
    <w:name w:val="Footer Char"/>
    <w:basedOn w:val="DefaultParagraphFont"/>
    <w:link w:val="Footer"/>
    <w:uiPriority w:val="99"/>
    <w:rsid w:val="0080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9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heltercluster.org/response/cha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EEA5F-8C27-41BA-AAA3-EA42FAE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Pages>
  <Words>906</Words>
  <Characters>4985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Coupigny</dc:creator>
  <cp:keywords/>
  <dc:description/>
  <cp:lastModifiedBy>Ernst Jean</cp:lastModifiedBy>
  <cp:revision>20</cp:revision>
  <cp:lastPrinted>2018-04-19T11:12:00Z</cp:lastPrinted>
  <dcterms:created xsi:type="dcterms:W3CDTF">2018-04-19T07:15:00Z</dcterms:created>
  <dcterms:modified xsi:type="dcterms:W3CDTF">2018-10-22T15:50:00Z</dcterms:modified>
</cp:coreProperties>
</file>