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695A2" w14:textId="77777777" w:rsidR="005B4F56" w:rsidRDefault="005B4F56" w:rsidP="00EC2F61">
      <w:pPr>
        <w:pStyle w:val="Default"/>
        <w:rPr>
          <w:sz w:val="22"/>
          <w:szCs w:val="22"/>
        </w:rPr>
      </w:pPr>
      <w:bookmarkStart w:id="0" w:name="_GoBack"/>
      <w:bookmarkEnd w:id="0"/>
    </w:p>
    <w:p w14:paraId="60ABBD0A" w14:textId="22604E3F" w:rsidR="00EC2F61" w:rsidRDefault="00EC2F61" w:rsidP="00EC2F61">
      <w:pPr>
        <w:pStyle w:val="Default"/>
      </w:pPr>
      <w:r>
        <w:rPr>
          <w:sz w:val="22"/>
          <w:szCs w:val="22"/>
        </w:rPr>
        <w:t>The Urban Settlements Working Group (USWG) – GSC consultation summary:</w:t>
      </w:r>
    </w:p>
    <w:p w14:paraId="539C8630" w14:textId="77777777" w:rsidR="00EC2F61" w:rsidRDefault="00EC2F61" w:rsidP="00EC2F61">
      <w:pPr>
        <w:pStyle w:val="Default"/>
      </w:pPr>
    </w:p>
    <w:p w14:paraId="3780204B" w14:textId="43FB80AA" w:rsidR="00EC2F61" w:rsidRDefault="00EC2F61" w:rsidP="00EC2F6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Settlement Approaches Guidance Note </w:t>
      </w:r>
    </w:p>
    <w:p w14:paraId="36E91FCA" w14:textId="77777777" w:rsidR="00EC2F61" w:rsidRDefault="00EC2F61" w:rsidP="00EC2F61">
      <w:pPr>
        <w:pStyle w:val="Default"/>
        <w:rPr>
          <w:sz w:val="22"/>
          <w:szCs w:val="22"/>
        </w:rPr>
      </w:pPr>
    </w:p>
    <w:p w14:paraId="4963BA28" w14:textId="794EB979" w:rsidR="00EC2F61" w:rsidRPr="005B4F56" w:rsidRDefault="008216C7" w:rsidP="00EC2F6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hyperlink r:id="rId5" w:history="1">
        <w:r w:rsidR="00EC2F61" w:rsidRPr="005B4F56">
          <w:rPr>
            <w:rFonts w:asciiTheme="minorHAnsi" w:hAnsiTheme="minorHAnsi" w:cstheme="minorBidi"/>
            <w:b/>
            <w:bCs/>
            <w:color w:val="8EAADB" w:themeColor="accent1" w:themeTint="99"/>
            <w:u w:val="single"/>
          </w:rPr>
          <w:t>The Urban Settlements Working Group (USWG)</w:t>
        </w:r>
      </w:hyperlink>
      <w:r w:rsidR="00EC2F61" w:rsidRPr="005B4F56">
        <w:rPr>
          <w:rFonts w:asciiTheme="minorHAnsi" w:hAnsiTheme="minorHAnsi" w:cstheme="minorBidi"/>
          <w:color w:val="auto"/>
          <w:sz w:val="22"/>
          <w:szCs w:val="22"/>
        </w:rPr>
        <w:t xml:space="preserve">, with the support of USAID/OFDA, is developing a Settlements* based Approach and Coordination Guidance note. Settlement-based approaches, also known as Area-, Neighbourhood-, or Place-Based Approaches, aim to provide </w:t>
      </w:r>
      <w:r w:rsidR="00EC2F61" w:rsidRPr="005B4F56">
        <w:rPr>
          <w:rFonts w:asciiTheme="minorHAnsi" w:hAnsiTheme="minorHAnsi" w:cstheme="minorBidi"/>
          <w:b/>
          <w:bCs/>
          <w:color w:val="auto"/>
          <w:sz w:val="22"/>
          <w:szCs w:val="22"/>
        </w:rPr>
        <w:t>multi-sectoral support which considers the whole population living in a specific geographic area with high levels of need</w:t>
      </w:r>
      <w:r w:rsidR="00EC2F61" w:rsidRPr="005B4F56">
        <w:rPr>
          <w:rFonts w:asciiTheme="minorHAnsi" w:hAnsiTheme="minorHAnsi" w:cstheme="minorBidi"/>
          <w:color w:val="auto"/>
          <w:sz w:val="22"/>
          <w:szCs w:val="22"/>
        </w:rPr>
        <w:t xml:space="preserve">. </w:t>
      </w:r>
    </w:p>
    <w:p w14:paraId="70BFCE64" w14:textId="77777777" w:rsidR="00EC2F61" w:rsidRPr="005B4F56" w:rsidRDefault="00EC2F61" w:rsidP="00EC2F6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4659ADB6" w14:textId="095DD322" w:rsidR="00F6373D" w:rsidRDefault="00EC2F61" w:rsidP="00EC2F61">
      <w:r>
        <w:t xml:space="preserve">The guidance note intends to support humanitarian and development agencies understand and apply settlement-based approaches in humanitarian response &amp; recovery. This guidance will </w:t>
      </w:r>
      <w:r>
        <w:rPr>
          <w:b/>
          <w:bCs/>
        </w:rPr>
        <w:t>complement a growing evidence-base on Settlement approaches</w:t>
      </w:r>
      <w:r>
        <w:t>, including the ECHO-supported Settlement Approach Case Study Compendium, as well as, Ten principles for area-based approaches, the forthcoming PCI ‘Neighbourhood Approach Guidance’ and other resources.</w:t>
      </w:r>
    </w:p>
    <w:p w14:paraId="2629A97E" w14:textId="4FBF29A9" w:rsidR="00EC2F61" w:rsidRDefault="00EC2F61" w:rsidP="00EC2F61">
      <w:r>
        <w:t>The consultation started with a panel discussion, with Tom Bamforth, Daniela Raiman and Marina A</w:t>
      </w:r>
      <w:r w:rsidRPr="00EC2F61">
        <w:t>angeloni</w:t>
      </w:r>
      <w:r>
        <w:t xml:space="preserve">. They discussed the BA principles from CCCM, gFSC, Security/Nutrition and Shelter and Settlements assistance as well as from their coordination experience, especially on </w:t>
      </w:r>
      <w:r w:rsidRPr="00EC2F61">
        <w:t>how different sectors apply the approach, and what implications it has from a multi-sectoral coordination perspective.</w:t>
      </w:r>
    </w:p>
    <w:p w14:paraId="360CD997" w14:textId="2B825923" w:rsidR="00EC2F61" w:rsidRDefault="00EC2F61" w:rsidP="00EC2F61">
      <w:r>
        <w:t>Discussion, suggestions and challenges that we need to overcome:</w:t>
      </w:r>
    </w:p>
    <w:p w14:paraId="7DA95F5B" w14:textId="0967B07A" w:rsidR="00EC2F61" w:rsidRDefault="00EC2F61" w:rsidP="00EC2F61">
      <w:pPr>
        <w:pStyle w:val="ListParagraph"/>
        <w:numPr>
          <w:ilvl w:val="0"/>
          <w:numId w:val="3"/>
        </w:numPr>
        <w:rPr>
          <w:color w:val="1F497D"/>
        </w:rPr>
      </w:pPr>
      <w:r>
        <w:rPr>
          <w:color w:val="1F497D"/>
        </w:rPr>
        <w:t>As far as coordination is concerned, multi-sectoral approaches can work well</w:t>
      </w:r>
      <w:r w:rsidR="00204690">
        <w:rPr>
          <w:color w:val="1F497D"/>
        </w:rPr>
        <w:t xml:space="preserve">, can be managed well, </w:t>
      </w:r>
      <w:r>
        <w:rPr>
          <w:color w:val="1F497D"/>
        </w:rPr>
        <w:t xml:space="preserve">and achieve broader impacts at a hub or sub-hub level </w:t>
      </w:r>
    </w:p>
    <w:p w14:paraId="45E4DE67" w14:textId="77777777" w:rsidR="00204690" w:rsidRDefault="00204690" w:rsidP="00EC2F61">
      <w:pPr>
        <w:pStyle w:val="ListParagraph"/>
        <w:numPr>
          <w:ilvl w:val="0"/>
          <w:numId w:val="3"/>
        </w:numPr>
        <w:rPr>
          <w:color w:val="1F497D"/>
        </w:rPr>
      </w:pPr>
      <w:r>
        <w:rPr>
          <w:color w:val="1F497D"/>
        </w:rPr>
        <w:t xml:space="preserve">The approach </w:t>
      </w:r>
      <w:r w:rsidR="00EC2F61">
        <w:rPr>
          <w:color w:val="1F497D"/>
        </w:rPr>
        <w:t>entails proactively working with communit</w:t>
      </w:r>
      <w:r>
        <w:rPr>
          <w:color w:val="1F497D"/>
        </w:rPr>
        <w:t>ies, local governments and other stakeholders and therefore we n</w:t>
      </w:r>
      <w:r w:rsidR="00EC2F61">
        <w:rPr>
          <w:color w:val="1F497D"/>
        </w:rPr>
        <w:t xml:space="preserve">eed to be </w:t>
      </w:r>
      <w:r>
        <w:rPr>
          <w:color w:val="1F497D"/>
        </w:rPr>
        <w:t>much clearer with our intentions, planning, programming and coordination</w:t>
      </w:r>
    </w:p>
    <w:p w14:paraId="6937F869" w14:textId="77777777" w:rsidR="00204690" w:rsidRDefault="00204690" w:rsidP="00EC2F61">
      <w:pPr>
        <w:pStyle w:val="ListParagraph"/>
        <w:numPr>
          <w:ilvl w:val="0"/>
          <w:numId w:val="3"/>
        </w:numPr>
        <w:rPr>
          <w:color w:val="1F497D"/>
        </w:rPr>
      </w:pPr>
      <w:r>
        <w:rPr>
          <w:color w:val="1F497D"/>
        </w:rPr>
        <w:t>When the four key principles and its underlying scope are applied and followed through it can address to mitigate some of the challenges of early-recovery and Hum-Dev Nexus.</w:t>
      </w:r>
    </w:p>
    <w:p w14:paraId="69B82B78" w14:textId="77777777" w:rsidR="00204690" w:rsidRDefault="00EC2F61" w:rsidP="00EC2F61">
      <w:pPr>
        <w:pStyle w:val="ListParagraph"/>
        <w:numPr>
          <w:ilvl w:val="0"/>
          <w:numId w:val="3"/>
        </w:numPr>
        <w:rPr>
          <w:color w:val="1F497D"/>
        </w:rPr>
      </w:pPr>
      <w:r>
        <w:rPr>
          <w:color w:val="1F497D"/>
        </w:rPr>
        <w:t>Information management is key. This entail a multisector 5W</w:t>
      </w:r>
      <w:r w:rsidR="00204690">
        <w:rPr>
          <w:color w:val="1F497D"/>
        </w:rPr>
        <w:t xml:space="preserve"> and much more intricate coordination of information collection and coherence. This might be harder to get it right the first time but could be made simpler over time.</w:t>
      </w:r>
    </w:p>
    <w:p w14:paraId="78ECF258" w14:textId="77777777" w:rsidR="00204690" w:rsidRDefault="00204690" w:rsidP="003014CC">
      <w:pPr>
        <w:pStyle w:val="ListParagraph"/>
        <w:numPr>
          <w:ilvl w:val="0"/>
          <w:numId w:val="3"/>
        </w:numPr>
        <w:rPr>
          <w:color w:val="1F497D"/>
        </w:rPr>
      </w:pPr>
      <w:r w:rsidRPr="00204690">
        <w:rPr>
          <w:color w:val="1F497D"/>
        </w:rPr>
        <w:t xml:space="preserve">More pilot projects must be undertaken. Some of the suggestions are to provide technical support capacity to the clusters (a </w:t>
      </w:r>
      <w:r w:rsidR="00EC2F61" w:rsidRPr="00204690">
        <w:rPr>
          <w:color w:val="1F497D"/>
        </w:rPr>
        <w:t>specialist included in a cluster team – either as surge or as a dedicated short mission</w:t>
      </w:r>
      <w:r>
        <w:rPr>
          <w:color w:val="1F497D"/>
        </w:rPr>
        <w:t xml:space="preserve">). </w:t>
      </w:r>
    </w:p>
    <w:p w14:paraId="626A4409" w14:textId="2D937D63" w:rsidR="00204690" w:rsidRDefault="00204690" w:rsidP="003014CC">
      <w:pPr>
        <w:pStyle w:val="ListParagraph"/>
        <w:numPr>
          <w:ilvl w:val="0"/>
          <w:numId w:val="3"/>
        </w:numPr>
        <w:rPr>
          <w:color w:val="1F497D"/>
        </w:rPr>
      </w:pPr>
      <w:r>
        <w:rPr>
          <w:color w:val="1F497D"/>
        </w:rPr>
        <w:t>ABA approach should become a key consideration as opposed to default deployment of clusters. Often this can be done in small scale responses. It must be also decided at the earliest possible time.</w:t>
      </w:r>
    </w:p>
    <w:p w14:paraId="6776A39A" w14:textId="48F2F94C" w:rsidR="005B4F56" w:rsidRDefault="00204690" w:rsidP="003014CC">
      <w:pPr>
        <w:pStyle w:val="ListParagraph"/>
        <w:numPr>
          <w:ilvl w:val="0"/>
          <w:numId w:val="3"/>
        </w:numPr>
        <w:rPr>
          <w:color w:val="1F497D"/>
        </w:rPr>
      </w:pPr>
      <w:r>
        <w:rPr>
          <w:color w:val="1F497D"/>
        </w:rPr>
        <w:t>To make the multi-sector multi-partner effort succeed, we need some agreed upon, predictable partnerships</w:t>
      </w:r>
      <w:r w:rsidR="005B4F56">
        <w:rPr>
          <w:color w:val="1F497D"/>
        </w:rPr>
        <w:t xml:space="preserve"> among agencies willing to work-together in assessment &amp; information sharing, implement programs, and share resources.</w:t>
      </w:r>
    </w:p>
    <w:p w14:paraId="4CB86BCE" w14:textId="77777777" w:rsidR="005B4F56" w:rsidRDefault="005B4F56" w:rsidP="003014CC">
      <w:pPr>
        <w:pStyle w:val="ListParagraph"/>
        <w:numPr>
          <w:ilvl w:val="0"/>
          <w:numId w:val="3"/>
        </w:numPr>
        <w:rPr>
          <w:color w:val="1F497D"/>
        </w:rPr>
      </w:pPr>
      <w:r>
        <w:rPr>
          <w:color w:val="1F497D"/>
        </w:rPr>
        <w:t>Some challenges include ongoing conflict zones and complex government structures</w:t>
      </w:r>
    </w:p>
    <w:p w14:paraId="403D83EB" w14:textId="2BB1685A" w:rsidR="00EC2F61" w:rsidRPr="005B4F56" w:rsidRDefault="005B4F56" w:rsidP="003F1CE1">
      <w:pPr>
        <w:pStyle w:val="ListParagraph"/>
        <w:numPr>
          <w:ilvl w:val="0"/>
          <w:numId w:val="3"/>
        </w:numPr>
      </w:pPr>
      <w:r w:rsidRPr="005B4F56">
        <w:rPr>
          <w:color w:val="1F497D"/>
        </w:rPr>
        <w:t xml:space="preserve">Earliest engagement with development actors, possible infrastructure recovery, long-term housing and livelihood assistance and recovery. Often these happens too late. </w:t>
      </w:r>
    </w:p>
    <w:p w14:paraId="4FFD038F" w14:textId="18591C06" w:rsidR="005B4F56" w:rsidRDefault="005B4F56" w:rsidP="005B4F56">
      <w:pPr>
        <w:spacing w:after="0"/>
      </w:pPr>
    </w:p>
    <w:p w14:paraId="200EACD9" w14:textId="1A8C87A6" w:rsidR="005B4F56" w:rsidRDefault="005B4F56" w:rsidP="005B4F56">
      <w:r>
        <w:t xml:space="preserve">The co-chairs of the USWG, CRS, Impact-Initiatives, and InterAction will gather these inputs and incorporate into the guidance. </w:t>
      </w:r>
    </w:p>
    <w:sectPr w:rsidR="005B4F56" w:rsidSect="005B4F56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E4D02"/>
    <w:multiLevelType w:val="hybridMultilevel"/>
    <w:tmpl w:val="358EE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C50031"/>
    <w:multiLevelType w:val="hybridMultilevel"/>
    <w:tmpl w:val="FB4E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A2141"/>
    <w:multiLevelType w:val="hybridMultilevel"/>
    <w:tmpl w:val="C6EE4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F61"/>
    <w:rsid w:val="00204690"/>
    <w:rsid w:val="002B516A"/>
    <w:rsid w:val="005B4F56"/>
    <w:rsid w:val="008216C7"/>
    <w:rsid w:val="00C6246D"/>
    <w:rsid w:val="00E358FD"/>
    <w:rsid w:val="00EC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87D71"/>
  <w15:chartTrackingRefBased/>
  <w15:docId w15:val="{86337299-DAE3-408E-B862-32067A14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2F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C2F61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apple-converted-space">
    <w:name w:val="apple-converted-space"/>
    <w:basedOn w:val="DefaultParagraphFont"/>
    <w:rsid w:val="00EC2F61"/>
  </w:style>
  <w:style w:type="character" w:styleId="Hyperlink">
    <w:name w:val="Hyperlink"/>
    <w:basedOn w:val="DefaultParagraphFont"/>
    <w:uiPriority w:val="99"/>
    <w:unhideWhenUsed/>
    <w:rsid w:val="005B4F5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4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0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heltercluster.org/working-group/settlements-approaches-urban-are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Hilmi, Mohamed</dc:creator>
  <cp:keywords/>
  <dc:description/>
  <cp:lastModifiedBy>Renee Wynveen</cp:lastModifiedBy>
  <cp:revision>2</cp:revision>
  <dcterms:created xsi:type="dcterms:W3CDTF">2019-10-29T10:53:00Z</dcterms:created>
  <dcterms:modified xsi:type="dcterms:W3CDTF">2019-10-29T10:53:00Z</dcterms:modified>
</cp:coreProperties>
</file>