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1D160" w14:textId="77777777" w:rsidR="00635BFF" w:rsidRPr="008E2365" w:rsidRDefault="00635BFF" w:rsidP="00635BFF">
      <w:pPr>
        <w:spacing w:after="0" w:line="240" w:lineRule="auto"/>
        <w:rPr>
          <w:rFonts w:ascii="Calibri" w:eastAsia="Times New Roman" w:hAnsi="Calibri" w:cs="Calibri"/>
          <w:b/>
          <w:bCs/>
          <w:color w:val="0070C0"/>
          <w:u w:val="single"/>
        </w:rPr>
      </w:pPr>
      <w:bookmarkStart w:id="0" w:name="_Hlk511138158"/>
      <w:bookmarkStart w:id="1" w:name="_GoBack"/>
      <w:bookmarkEnd w:id="1"/>
    </w:p>
    <w:p w14:paraId="50115E14" w14:textId="5ECECC35" w:rsidR="00635BFF" w:rsidRPr="00635BFF" w:rsidRDefault="00635BFF" w:rsidP="007B295F">
      <w:pPr>
        <w:spacing w:after="0" w:line="240" w:lineRule="auto"/>
        <w:rPr>
          <w:rFonts w:ascii="Calibri" w:eastAsia="Times New Roman" w:hAnsi="Calibri" w:cs="Calibri"/>
          <w:b/>
          <w:bCs/>
          <w:color w:val="0070C0"/>
          <w:sz w:val="28"/>
          <w:u w:val="single"/>
        </w:rPr>
      </w:pPr>
      <w:r w:rsidRPr="00635BFF">
        <w:rPr>
          <w:rFonts w:ascii="Calibri" w:eastAsia="Times New Roman" w:hAnsi="Calibri" w:cs="Calibri"/>
          <w:b/>
          <w:bCs/>
          <w:color w:val="0070C0"/>
          <w:sz w:val="28"/>
          <w:u w:val="single"/>
        </w:rPr>
        <w:t xml:space="preserve">Background: </w:t>
      </w:r>
    </w:p>
    <w:p w14:paraId="3CA3A522" w14:textId="77777777" w:rsidR="00635BFF" w:rsidRPr="00694431" w:rsidRDefault="00635BFF" w:rsidP="00694431">
      <w:pPr>
        <w:spacing w:after="0" w:line="240" w:lineRule="auto"/>
        <w:rPr>
          <w:rFonts w:ascii="Calibri" w:eastAsia="Times New Roman" w:hAnsi="Calibri" w:cs="Calibri"/>
          <w:b/>
          <w:bCs/>
          <w:color w:val="0070C0"/>
          <w:u w:val="single"/>
        </w:rPr>
      </w:pPr>
    </w:p>
    <w:p w14:paraId="6A2BA2AF" w14:textId="455308FF" w:rsidR="00650692" w:rsidRDefault="00650692" w:rsidP="007B295F">
      <w:pPr>
        <w:shd w:val="clear" w:color="auto" w:fill="FFFFFF"/>
        <w:spacing w:after="0" w:line="240" w:lineRule="auto"/>
        <w:rPr>
          <w:rFonts w:ascii="Calibri" w:eastAsia="Times New Roman" w:hAnsi="Calibri" w:cs="Calibri"/>
          <w:color w:val="000000"/>
        </w:rPr>
      </w:pPr>
      <w:r w:rsidRPr="00650692">
        <w:rPr>
          <w:rFonts w:ascii="Calibri" w:eastAsia="Times New Roman" w:hAnsi="Calibri" w:cs="Calibri"/>
          <w:color w:val="000000"/>
        </w:rPr>
        <w:t>In the 2016 World Humanitarian Summit report by UN Secretary General Ban Ki Moon stated that humanitarians must, “move beyond traditional silos, work across mandates, sectors and institutional boundaries.” The value of a multi-sectoral integrated approach has been particularly recognized in urban contexts. The IASC has called for a “paradigm shift…. based [on] area-based or community-based approaches.” In addition, for several years now USAID/OFDA has been advocating a settlements approach: integrated, multi-sector programming in socially defined space.  ECHO’s 2017 thematic policy document on Shelter and Settlements states that “Shelter and the larger concept of settlement are inextricably linked and should be addressed as a whole rather than separately.” UNHCR, in its Settlements and Shelter strategy, has also emphasized the relevance of this approach in refugee and displacement contexts and argued that it contributes to positive protection and gender outcomes</w:t>
      </w:r>
      <w:r>
        <w:rPr>
          <w:rFonts w:ascii="Calibri" w:eastAsia="Times New Roman" w:hAnsi="Calibri" w:cs="Calibri"/>
          <w:color w:val="000000"/>
        </w:rPr>
        <w:t>.</w:t>
      </w:r>
    </w:p>
    <w:p w14:paraId="590D95D0" w14:textId="77777777" w:rsidR="007B295F" w:rsidRDefault="007B295F" w:rsidP="007B295F">
      <w:pPr>
        <w:shd w:val="clear" w:color="auto" w:fill="FFFFFF"/>
        <w:spacing w:after="0" w:line="240" w:lineRule="auto"/>
        <w:rPr>
          <w:rFonts w:ascii="Calibri" w:eastAsia="Times New Roman" w:hAnsi="Calibri" w:cs="Calibri"/>
          <w:color w:val="000000"/>
        </w:rPr>
      </w:pPr>
    </w:p>
    <w:p w14:paraId="270D0FCF" w14:textId="77777777" w:rsidR="00650692" w:rsidRDefault="00650692" w:rsidP="007B295F">
      <w:pPr>
        <w:shd w:val="clear" w:color="auto" w:fill="FFFFFF"/>
        <w:spacing w:after="0" w:line="240" w:lineRule="auto"/>
        <w:rPr>
          <w:rFonts w:ascii="Calibri" w:eastAsia="Times New Roman" w:hAnsi="Calibri" w:cs="Calibri"/>
          <w:color w:val="000000"/>
        </w:rPr>
      </w:pPr>
      <w:r w:rsidRPr="00650692">
        <w:rPr>
          <w:rFonts w:ascii="Calibri" w:eastAsia="Times New Roman" w:hAnsi="Calibri" w:cs="Calibri"/>
          <w:color w:val="000000"/>
        </w:rPr>
        <w:t>Over the past decade, a growing consensus has emerged within the humanitarian community that the humanitarian response requires a paradigm shift. Too often, humanitarian actors have been challenged and slow to adapt to the changing needs of affected communities, diverse contexts, and dwindling resources, and have been unable to effectively and consistently adopt integrated and multi-sectoral approaches.</w:t>
      </w:r>
      <w:r>
        <w:rPr>
          <w:rFonts w:ascii="Calibri" w:eastAsia="Times New Roman" w:hAnsi="Calibri" w:cs="Calibri"/>
          <w:color w:val="000000"/>
        </w:rPr>
        <w:t xml:space="preserve"> Several previous discussions, roundtables and conferences were held on this topic but primarily limited to shelter and settlements stakeholders. </w:t>
      </w:r>
    </w:p>
    <w:p w14:paraId="4AA28D25" w14:textId="77777777" w:rsidR="007B295F" w:rsidRDefault="007B295F" w:rsidP="007B295F">
      <w:pPr>
        <w:shd w:val="clear" w:color="auto" w:fill="FFFFFF"/>
        <w:spacing w:after="0" w:line="240" w:lineRule="auto"/>
        <w:rPr>
          <w:rFonts w:ascii="Calibri" w:eastAsia="Times New Roman" w:hAnsi="Calibri" w:cs="Calibri"/>
          <w:color w:val="000000"/>
        </w:rPr>
      </w:pPr>
    </w:p>
    <w:p w14:paraId="3B2431D2" w14:textId="1D8CEF69" w:rsidR="006B0F8E" w:rsidRDefault="006B0F8E" w:rsidP="007B295F">
      <w:pPr>
        <w:spacing w:after="0" w:line="240" w:lineRule="auto"/>
        <w:rPr>
          <w:rFonts w:ascii="Calibri" w:eastAsia="Times New Roman" w:hAnsi="Calibri" w:cs="Calibri"/>
          <w:color w:val="000000"/>
        </w:rPr>
      </w:pPr>
      <w:r w:rsidRPr="00635BFF">
        <w:rPr>
          <w:rFonts w:ascii="Calibri" w:eastAsia="Times New Roman" w:hAnsi="Calibri" w:cs="Calibri"/>
          <w:color w:val="000000"/>
        </w:rPr>
        <w:t>This WG aims to identify best practices and lessons learnt on settlement</w:t>
      </w:r>
      <w:r w:rsidR="00650692" w:rsidRPr="00635BFF">
        <w:rPr>
          <w:rFonts w:ascii="Calibri" w:eastAsia="Times New Roman" w:hAnsi="Calibri" w:cs="Calibri"/>
          <w:color w:val="000000"/>
        </w:rPr>
        <w:t xml:space="preserve">s/Area-based </w:t>
      </w:r>
      <w:r w:rsidRPr="00635BFF">
        <w:rPr>
          <w:rFonts w:ascii="Calibri" w:eastAsia="Times New Roman" w:hAnsi="Calibri" w:cs="Calibri"/>
          <w:color w:val="000000"/>
        </w:rPr>
        <w:t xml:space="preserve">approaches, particularly in urban responses, and link with other </w:t>
      </w:r>
      <w:r w:rsidR="00635BFF">
        <w:rPr>
          <w:rFonts w:ascii="Calibri" w:eastAsia="Times New Roman" w:hAnsi="Calibri" w:cs="Calibri"/>
          <w:color w:val="000000"/>
        </w:rPr>
        <w:t xml:space="preserve">practitioners and </w:t>
      </w:r>
      <w:r w:rsidRPr="00635BFF">
        <w:rPr>
          <w:rFonts w:ascii="Calibri" w:eastAsia="Times New Roman" w:hAnsi="Calibri" w:cs="Calibri"/>
          <w:color w:val="000000"/>
        </w:rPr>
        <w:t>clusters to promote an inter-cluster</w:t>
      </w:r>
      <w:r w:rsidR="00650692" w:rsidRPr="00635BFF">
        <w:rPr>
          <w:rFonts w:ascii="Calibri" w:eastAsia="Times New Roman" w:hAnsi="Calibri" w:cs="Calibri"/>
          <w:color w:val="000000"/>
        </w:rPr>
        <w:t>,</w:t>
      </w:r>
      <w:r w:rsidRPr="00635BFF">
        <w:rPr>
          <w:rFonts w:ascii="Calibri" w:eastAsia="Times New Roman" w:hAnsi="Calibri" w:cs="Calibri"/>
          <w:color w:val="000000"/>
        </w:rPr>
        <w:t xml:space="preserve"> inter-sector approaches in humanitarian </w:t>
      </w:r>
      <w:r w:rsidR="00A30C25" w:rsidRPr="00635BFF">
        <w:rPr>
          <w:rFonts w:ascii="Calibri" w:eastAsia="Times New Roman" w:hAnsi="Calibri" w:cs="Calibri"/>
          <w:color w:val="000000"/>
        </w:rPr>
        <w:t>assistance.</w:t>
      </w:r>
    </w:p>
    <w:p w14:paraId="1AF52BEB" w14:textId="77777777" w:rsidR="007B295F" w:rsidRPr="00635BFF" w:rsidRDefault="007B295F" w:rsidP="007B295F">
      <w:pPr>
        <w:spacing w:after="0" w:line="240" w:lineRule="auto"/>
        <w:rPr>
          <w:rFonts w:ascii="Calibri" w:eastAsia="Times New Roman" w:hAnsi="Calibri" w:cs="Calibri"/>
          <w:color w:val="000000"/>
        </w:rPr>
      </w:pPr>
    </w:p>
    <w:p w14:paraId="769812E9" w14:textId="719F91C7" w:rsidR="00D17430" w:rsidRPr="00635BFF" w:rsidRDefault="00650692" w:rsidP="007B295F">
      <w:pPr>
        <w:spacing w:after="0" w:line="240" w:lineRule="auto"/>
        <w:rPr>
          <w:rFonts w:ascii="Calibri" w:eastAsia="Times New Roman" w:hAnsi="Calibri" w:cs="Calibri"/>
          <w:color w:val="000000"/>
        </w:rPr>
      </w:pPr>
      <w:r w:rsidRPr="00635BFF">
        <w:rPr>
          <w:rFonts w:ascii="Calibri" w:eastAsia="Times New Roman" w:hAnsi="Calibri" w:cs="Calibri"/>
          <w:color w:val="000000"/>
        </w:rPr>
        <w:t xml:space="preserve">This review of terminology has been undertaken to bring some clarity and understanding on the </w:t>
      </w:r>
      <w:r w:rsidR="00635BFF">
        <w:rPr>
          <w:rFonts w:ascii="Calibri" w:eastAsia="Times New Roman" w:hAnsi="Calibri" w:cs="Calibri"/>
          <w:color w:val="000000"/>
        </w:rPr>
        <w:t xml:space="preserve">usage of </w:t>
      </w:r>
      <w:r w:rsidRPr="00635BFF">
        <w:rPr>
          <w:rFonts w:ascii="Calibri" w:eastAsia="Times New Roman" w:hAnsi="Calibri" w:cs="Calibri"/>
          <w:color w:val="000000"/>
        </w:rPr>
        <w:t>terminologies</w:t>
      </w:r>
      <w:r w:rsidR="0079163E" w:rsidRPr="00635BFF">
        <w:rPr>
          <w:rFonts w:ascii="Calibri" w:eastAsia="Times New Roman" w:hAnsi="Calibri" w:cs="Calibri"/>
          <w:color w:val="000000"/>
        </w:rPr>
        <w:t xml:space="preserve">. </w:t>
      </w:r>
      <w:r w:rsidR="006B0F8E" w:rsidRPr="00635BFF">
        <w:rPr>
          <w:rFonts w:ascii="Calibri" w:eastAsia="Times New Roman" w:hAnsi="Calibri" w:cs="Calibri"/>
          <w:color w:val="000000"/>
        </w:rPr>
        <w:t>This</w:t>
      </w:r>
      <w:r w:rsidR="00D17430" w:rsidRPr="00635BFF">
        <w:rPr>
          <w:rFonts w:ascii="Calibri" w:eastAsia="Times New Roman" w:hAnsi="Calibri" w:cs="Calibri"/>
          <w:color w:val="000000"/>
        </w:rPr>
        <w:t xml:space="preserve"> paper</w:t>
      </w:r>
      <w:r w:rsidR="006B0F8E" w:rsidRPr="00635BFF">
        <w:rPr>
          <w:rFonts w:ascii="Calibri" w:eastAsia="Times New Roman" w:hAnsi="Calibri" w:cs="Calibri"/>
          <w:color w:val="000000"/>
        </w:rPr>
        <w:t xml:space="preserve"> is not an attempt to promote </w:t>
      </w:r>
      <w:r w:rsidR="00D17430" w:rsidRPr="00635BFF">
        <w:rPr>
          <w:rFonts w:ascii="Calibri" w:eastAsia="Times New Roman" w:hAnsi="Calibri" w:cs="Calibri"/>
          <w:color w:val="000000"/>
        </w:rPr>
        <w:t xml:space="preserve">the use of one terminology </w:t>
      </w:r>
      <w:r w:rsidR="006B0F8E" w:rsidRPr="00635BFF">
        <w:rPr>
          <w:rFonts w:ascii="Calibri" w:eastAsia="Times New Roman" w:hAnsi="Calibri" w:cs="Calibri"/>
          <w:color w:val="000000"/>
        </w:rPr>
        <w:t xml:space="preserve">over the other. </w:t>
      </w:r>
      <w:r w:rsidR="00D17430" w:rsidRPr="00635BFF">
        <w:rPr>
          <w:rFonts w:ascii="Calibri" w:eastAsia="Times New Roman" w:hAnsi="Calibri" w:cs="Calibri"/>
          <w:color w:val="000000"/>
        </w:rPr>
        <w:t xml:space="preserve">It must be also noted that many of the authors and papers have used these terminologies more broadly </w:t>
      </w:r>
      <w:r w:rsidR="002757D4">
        <w:rPr>
          <w:rFonts w:ascii="Calibri" w:eastAsia="Times New Roman" w:hAnsi="Calibri" w:cs="Calibri"/>
          <w:color w:val="000000"/>
        </w:rPr>
        <w:t>to</w:t>
      </w:r>
      <w:r w:rsidR="002757D4" w:rsidRPr="00635BFF">
        <w:rPr>
          <w:rFonts w:ascii="Calibri" w:eastAsia="Times New Roman" w:hAnsi="Calibri" w:cs="Calibri"/>
          <w:color w:val="000000"/>
        </w:rPr>
        <w:t xml:space="preserve"> </w:t>
      </w:r>
      <w:r w:rsidR="00D17430" w:rsidRPr="00635BFF">
        <w:rPr>
          <w:rFonts w:ascii="Calibri" w:eastAsia="Times New Roman" w:hAnsi="Calibri" w:cs="Calibri"/>
          <w:color w:val="000000"/>
        </w:rPr>
        <w:t>appl</w:t>
      </w:r>
      <w:r w:rsidR="002757D4">
        <w:rPr>
          <w:rFonts w:ascii="Calibri" w:eastAsia="Times New Roman" w:hAnsi="Calibri" w:cs="Calibri"/>
          <w:color w:val="000000"/>
        </w:rPr>
        <w:t>y</w:t>
      </w:r>
      <w:r w:rsidR="00D17430" w:rsidRPr="00635BFF">
        <w:rPr>
          <w:rFonts w:ascii="Calibri" w:eastAsia="Times New Roman" w:hAnsi="Calibri" w:cs="Calibri"/>
          <w:color w:val="000000"/>
        </w:rPr>
        <w:t xml:space="preserve"> to a particular context</w:t>
      </w:r>
      <w:r w:rsidR="002757D4">
        <w:rPr>
          <w:rFonts w:ascii="Calibri" w:eastAsia="Times New Roman" w:hAnsi="Calibri" w:cs="Calibri"/>
          <w:color w:val="000000"/>
        </w:rPr>
        <w:t>,</w:t>
      </w:r>
      <w:r w:rsidR="00D17430" w:rsidRPr="00635BFF">
        <w:rPr>
          <w:rFonts w:ascii="Calibri" w:eastAsia="Times New Roman" w:hAnsi="Calibri" w:cs="Calibri"/>
          <w:color w:val="000000"/>
        </w:rPr>
        <w:t xml:space="preserve"> but </w:t>
      </w:r>
      <w:r w:rsidR="002757D4">
        <w:rPr>
          <w:rFonts w:ascii="Calibri" w:eastAsia="Times New Roman" w:hAnsi="Calibri" w:cs="Calibri"/>
          <w:color w:val="000000"/>
        </w:rPr>
        <w:t>the</w:t>
      </w:r>
      <w:r w:rsidR="002757D4" w:rsidRPr="00635BFF">
        <w:rPr>
          <w:rFonts w:ascii="Calibri" w:eastAsia="Times New Roman" w:hAnsi="Calibri" w:cs="Calibri"/>
          <w:color w:val="000000"/>
        </w:rPr>
        <w:t xml:space="preserve"> </w:t>
      </w:r>
      <w:r w:rsidR="00D17430" w:rsidRPr="00635BFF">
        <w:rPr>
          <w:rFonts w:ascii="Calibri" w:eastAsia="Times New Roman" w:hAnsi="Calibri" w:cs="Calibri"/>
          <w:color w:val="000000"/>
        </w:rPr>
        <w:t>mean</w:t>
      </w:r>
      <w:r w:rsidR="002757D4">
        <w:rPr>
          <w:rFonts w:ascii="Calibri" w:eastAsia="Times New Roman" w:hAnsi="Calibri" w:cs="Calibri"/>
          <w:color w:val="000000"/>
        </w:rPr>
        <w:t>ings could have</w:t>
      </w:r>
      <w:r w:rsidR="00D17430" w:rsidRPr="00635BFF">
        <w:rPr>
          <w:rFonts w:ascii="Calibri" w:eastAsia="Times New Roman" w:hAnsi="Calibri" w:cs="Calibri"/>
          <w:color w:val="000000"/>
        </w:rPr>
        <w:t xml:space="preserve"> different association</w:t>
      </w:r>
      <w:r w:rsidR="002757D4">
        <w:rPr>
          <w:rFonts w:ascii="Calibri" w:eastAsia="Times New Roman" w:hAnsi="Calibri" w:cs="Calibri"/>
          <w:color w:val="000000"/>
        </w:rPr>
        <w:t>s</w:t>
      </w:r>
      <w:r w:rsidR="00D17430" w:rsidRPr="00635BFF">
        <w:rPr>
          <w:rFonts w:ascii="Calibri" w:eastAsia="Times New Roman" w:hAnsi="Calibri" w:cs="Calibri"/>
          <w:color w:val="000000"/>
        </w:rPr>
        <w:t xml:space="preserve"> in different context</w:t>
      </w:r>
      <w:r w:rsidR="002757D4">
        <w:rPr>
          <w:rFonts w:ascii="Calibri" w:eastAsia="Times New Roman" w:hAnsi="Calibri" w:cs="Calibri"/>
          <w:color w:val="000000"/>
        </w:rPr>
        <w:t>s</w:t>
      </w:r>
      <w:r w:rsidR="00D17430" w:rsidRPr="00635BFF">
        <w:rPr>
          <w:rFonts w:ascii="Calibri" w:eastAsia="Times New Roman" w:hAnsi="Calibri" w:cs="Calibri"/>
          <w:color w:val="000000"/>
        </w:rPr>
        <w:t>.</w:t>
      </w:r>
    </w:p>
    <w:p w14:paraId="216F5AA3" w14:textId="4AADD8B0" w:rsidR="007B295F" w:rsidRDefault="006B0F8E" w:rsidP="007B295F">
      <w:pPr>
        <w:spacing w:after="0" w:line="240" w:lineRule="auto"/>
        <w:rPr>
          <w:rFonts w:ascii="Calibri" w:eastAsia="Times New Roman" w:hAnsi="Calibri" w:cs="Calibri"/>
          <w:color w:val="000000"/>
        </w:rPr>
      </w:pPr>
      <w:r w:rsidRPr="00635BFF">
        <w:rPr>
          <w:rFonts w:ascii="Calibri" w:eastAsia="Times New Roman" w:hAnsi="Calibri" w:cs="Calibri"/>
          <w:color w:val="000000"/>
        </w:rPr>
        <w:t>Below</w:t>
      </w:r>
      <w:r w:rsidR="002757D4">
        <w:rPr>
          <w:rFonts w:ascii="Calibri" w:eastAsia="Times New Roman" w:hAnsi="Calibri" w:cs="Calibri"/>
          <w:color w:val="000000"/>
        </w:rPr>
        <w:t xml:space="preserve"> is a </w:t>
      </w:r>
      <w:r w:rsidRPr="00635BFF">
        <w:rPr>
          <w:rFonts w:ascii="Calibri" w:eastAsia="Times New Roman" w:hAnsi="Calibri" w:cs="Calibri"/>
          <w:color w:val="000000"/>
        </w:rPr>
        <w:t>short review of several pertinent pieces of literature</w:t>
      </w:r>
      <w:r w:rsidR="0079163E" w:rsidRPr="00635BFF">
        <w:rPr>
          <w:rStyle w:val="FootnoteReference"/>
          <w:rFonts w:ascii="Calibri" w:eastAsia="Times New Roman" w:hAnsi="Calibri" w:cs="Calibri"/>
          <w:color w:val="000000"/>
        </w:rPr>
        <w:footnoteReference w:id="1"/>
      </w:r>
      <w:r w:rsidRPr="00635BFF">
        <w:rPr>
          <w:rFonts w:ascii="Calibri" w:eastAsia="Times New Roman" w:hAnsi="Calibri" w:cs="Calibri"/>
          <w:color w:val="000000"/>
        </w:rPr>
        <w:t xml:space="preserve"> focusing on th</w:t>
      </w:r>
      <w:r w:rsidR="002757D4">
        <w:rPr>
          <w:rFonts w:ascii="Calibri" w:eastAsia="Times New Roman" w:hAnsi="Calibri" w:cs="Calibri"/>
          <w:color w:val="000000"/>
        </w:rPr>
        <w:t>is</w:t>
      </w:r>
      <w:r w:rsidRPr="00635BFF">
        <w:rPr>
          <w:rFonts w:ascii="Calibri" w:eastAsia="Times New Roman" w:hAnsi="Calibri" w:cs="Calibri"/>
          <w:color w:val="000000"/>
        </w:rPr>
        <w:t xml:space="preserve"> usage</w:t>
      </w:r>
      <w:r w:rsidR="0079163E" w:rsidRPr="00635BFF">
        <w:rPr>
          <w:rFonts w:ascii="Calibri" w:eastAsia="Times New Roman" w:hAnsi="Calibri" w:cs="Calibri"/>
          <w:color w:val="000000"/>
        </w:rPr>
        <w:t>. The terms are limited to</w:t>
      </w:r>
      <w:r w:rsidR="00B0080E">
        <w:rPr>
          <w:rFonts w:ascii="Calibri" w:eastAsia="Times New Roman" w:hAnsi="Calibri" w:cs="Calibri"/>
          <w:color w:val="000000"/>
        </w:rPr>
        <w:t xml:space="preserve"> </w:t>
      </w:r>
      <w:r w:rsidR="00B0080E" w:rsidRPr="002757D4">
        <w:rPr>
          <w:rFonts w:ascii="Calibri" w:eastAsia="Times New Roman" w:hAnsi="Calibri" w:cs="Calibri"/>
          <w:b/>
          <w:i/>
          <w:color w:val="0070C0"/>
        </w:rPr>
        <w:t>Area-based</w:t>
      </w:r>
      <w:r w:rsidR="00B0080E">
        <w:rPr>
          <w:rFonts w:ascii="Calibri" w:eastAsia="Times New Roman" w:hAnsi="Calibri" w:cs="Calibri"/>
          <w:color w:val="000000"/>
        </w:rPr>
        <w:t xml:space="preserve">, </w:t>
      </w:r>
      <w:r w:rsidRPr="002757D4">
        <w:rPr>
          <w:rFonts w:ascii="Calibri" w:eastAsia="Times New Roman" w:hAnsi="Calibri" w:cs="Calibri"/>
          <w:b/>
          <w:i/>
          <w:color w:val="0070C0"/>
        </w:rPr>
        <w:t>Settlement</w:t>
      </w:r>
      <w:r w:rsidR="00B0080E" w:rsidRPr="002757D4">
        <w:rPr>
          <w:rFonts w:ascii="Calibri" w:eastAsia="Times New Roman" w:hAnsi="Calibri" w:cs="Calibri"/>
          <w:b/>
          <w:i/>
          <w:color w:val="0070C0"/>
        </w:rPr>
        <w:t>s</w:t>
      </w:r>
      <w:r w:rsidR="00B0080E">
        <w:rPr>
          <w:rFonts w:ascii="Calibri" w:eastAsia="Times New Roman" w:hAnsi="Calibri" w:cs="Calibri"/>
          <w:color w:val="000000"/>
        </w:rPr>
        <w:t>, and</w:t>
      </w:r>
      <w:r w:rsidRPr="00635BFF">
        <w:rPr>
          <w:rFonts w:ascii="Calibri" w:eastAsia="Times New Roman" w:hAnsi="Calibri" w:cs="Calibri"/>
        </w:rPr>
        <w:t xml:space="preserve"> </w:t>
      </w:r>
      <w:r w:rsidRPr="002757D4">
        <w:rPr>
          <w:rFonts w:ascii="Calibri" w:eastAsia="Times New Roman" w:hAnsi="Calibri" w:cs="Calibri"/>
          <w:b/>
          <w:i/>
          <w:color w:val="0070C0"/>
        </w:rPr>
        <w:t>Neighborhood</w:t>
      </w:r>
      <w:r w:rsidR="0079163E" w:rsidRPr="002757D4">
        <w:rPr>
          <w:rFonts w:ascii="Calibri" w:eastAsia="Times New Roman" w:hAnsi="Calibri" w:cs="Calibri"/>
          <w:b/>
          <w:i/>
          <w:color w:val="0070C0"/>
        </w:rPr>
        <w:t>s</w:t>
      </w:r>
      <w:r w:rsidR="00B0080E">
        <w:rPr>
          <w:rFonts w:ascii="Calibri" w:eastAsia="Times New Roman" w:hAnsi="Calibri" w:cs="Calibri"/>
          <w:color w:val="000000"/>
        </w:rPr>
        <w:t>.</w:t>
      </w:r>
    </w:p>
    <w:p w14:paraId="431A7BBE" w14:textId="12E2C66B" w:rsidR="0079163E" w:rsidRDefault="0079163E" w:rsidP="007B295F">
      <w:pPr>
        <w:spacing w:after="0" w:line="240" w:lineRule="auto"/>
        <w:rPr>
          <w:rFonts w:ascii="Calibri" w:eastAsia="Times New Roman" w:hAnsi="Calibri" w:cs="Calibri"/>
          <w:color w:val="000000"/>
        </w:rPr>
      </w:pPr>
    </w:p>
    <w:p w14:paraId="3700D53C" w14:textId="6C7DA512" w:rsidR="007B295F" w:rsidRPr="007B295F" w:rsidRDefault="00650692" w:rsidP="007B295F">
      <w:pPr>
        <w:pStyle w:val="ListParagraph"/>
        <w:numPr>
          <w:ilvl w:val="0"/>
          <w:numId w:val="5"/>
        </w:numPr>
        <w:spacing w:after="0" w:line="240" w:lineRule="auto"/>
        <w:rPr>
          <w:rFonts w:ascii="Calibri" w:eastAsia="Times New Roman" w:hAnsi="Calibri" w:cs="Calibri"/>
          <w:color w:val="0070C0"/>
          <w:sz w:val="28"/>
        </w:rPr>
      </w:pPr>
      <w:r w:rsidRPr="008C0F98">
        <w:rPr>
          <w:rFonts w:ascii="Calibri" w:eastAsia="Times New Roman" w:hAnsi="Calibri" w:cs="Calibri"/>
          <w:b/>
          <w:bCs/>
          <w:color w:val="0070C0"/>
          <w:sz w:val="28"/>
          <w:u w:val="single"/>
        </w:rPr>
        <w:t>AREA</w:t>
      </w:r>
      <w:r>
        <w:rPr>
          <w:rFonts w:ascii="Calibri" w:eastAsia="Times New Roman" w:hAnsi="Calibri" w:cs="Calibri"/>
          <w:b/>
          <w:bCs/>
          <w:color w:val="0070C0"/>
          <w:sz w:val="28"/>
          <w:u w:val="single"/>
        </w:rPr>
        <w:t>-</w:t>
      </w:r>
      <w:r w:rsidRPr="008C0F98">
        <w:rPr>
          <w:rFonts w:ascii="Calibri" w:eastAsia="Times New Roman" w:hAnsi="Calibri" w:cs="Calibri"/>
          <w:b/>
          <w:bCs/>
          <w:color w:val="0070C0"/>
          <w:sz w:val="28"/>
          <w:u w:val="single"/>
        </w:rPr>
        <w:t xml:space="preserve">BASED </w:t>
      </w:r>
    </w:p>
    <w:p w14:paraId="52AAB902" w14:textId="77777777" w:rsidR="00650692" w:rsidRDefault="00650692" w:rsidP="007B295F">
      <w:pPr>
        <w:spacing w:after="0" w:line="240" w:lineRule="auto"/>
        <w:rPr>
          <w:rFonts w:ascii="Calibri" w:eastAsia="Times New Roman" w:hAnsi="Calibri" w:cs="Calibri"/>
          <w:bCs/>
        </w:rPr>
      </w:pPr>
    </w:p>
    <w:p w14:paraId="7A8860A8" w14:textId="77777777" w:rsidR="00650692" w:rsidRPr="00635BFF" w:rsidRDefault="00650692" w:rsidP="007B295F">
      <w:pPr>
        <w:spacing w:after="0" w:line="240" w:lineRule="auto"/>
        <w:rPr>
          <w:rFonts w:ascii="Calibri" w:eastAsia="Times New Roman" w:hAnsi="Calibri" w:cs="Calibri"/>
          <w:b/>
          <w:bCs/>
          <w:color w:val="0070C0"/>
          <w:sz w:val="24"/>
          <w:u w:val="single"/>
        </w:rPr>
      </w:pPr>
      <w:r w:rsidRPr="00635BFF">
        <w:rPr>
          <w:rFonts w:ascii="Calibri" w:eastAsia="Times New Roman" w:hAnsi="Calibri" w:cs="Calibri"/>
          <w:b/>
          <w:bCs/>
          <w:color w:val="0070C0"/>
          <w:sz w:val="24"/>
          <w:u w:val="single"/>
        </w:rPr>
        <w:t>Definitions:</w:t>
      </w:r>
    </w:p>
    <w:p w14:paraId="42233F40" w14:textId="7EC630AE" w:rsidR="00E231C0" w:rsidRDefault="00E231C0" w:rsidP="007B295F">
      <w:pPr>
        <w:spacing w:after="0" w:line="240" w:lineRule="auto"/>
        <w:rPr>
          <w:rFonts w:ascii="Calibri" w:eastAsia="Times New Roman" w:hAnsi="Calibri" w:cs="Calibri"/>
          <w:bCs/>
        </w:rPr>
      </w:pPr>
      <w:r w:rsidRPr="00694431">
        <w:rPr>
          <w:rFonts w:ascii="Calibri" w:eastAsia="Times New Roman" w:hAnsi="Calibri" w:cs="Calibri"/>
          <w:bCs/>
        </w:rPr>
        <w:t xml:space="preserve">An </w:t>
      </w:r>
      <w:r>
        <w:rPr>
          <w:rFonts w:ascii="Calibri" w:eastAsia="Times New Roman" w:hAnsi="Calibri" w:cs="Calibri"/>
          <w:b/>
          <w:bCs/>
          <w:i/>
          <w:color w:val="0070C0"/>
        </w:rPr>
        <w:t xml:space="preserve">area </w:t>
      </w:r>
      <w:r w:rsidRPr="00694431">
        <w:rPr>
          <w:rFonts w:ascii="Calibri" w:eastAsia="Times New Roman" w:hAnsi="Calibri" w:cs="Calibri"/>
          <w:bCs/>
        </w:rPr>
        <w:t xml:space="preserve">is a </w:t>
      </w:r>
      <w:r>
        <w:rPr>
          <w:rFonts w:ascii="Calibri" w:eastAsia="Times New Roman" w:hAnsi="Calibri" w:cs="Calibri"/>
          <w:bCs/>
        </w:rPr>
        <w:t xml:space="preserve">geographically defined space. The boundaries of an area can be administrative or defined by natural geography (such as cliff lines or waterways) or social geography (such as socially defined neighborhoods). </w:t>
      </w:r>
    </w:p>
    <w:p w14:paraId="176C66F1" w14:textId="5D3E5EF4" w:rsidR="00E231C0" w:rsidRPr="00694431" w:rsidRDefault="00E231C0" w:rsidP="007B295F">
      <w:pPr>
        <w:spacing w:after="0" w:line="240" w:lineRule="auto"/>
        <w:rPr>
          <w:rFonts w:ascii="Calibri" w:eastAsia="Times New Roman" w:hAnsi="Calibri" w:cs="Calibri"/>
          <w:bCs/>
        </w:rPr>
      </w:pPr>
      <w:r>
        <w:rPr>
          <w:rFonts w:ascii="Calibri" w:eastAsia="Times New Roman" w:hAnsi="Calibri" w:cs="Calibri"/>
          <w:bCs/>
        </w:rPr>
        <w:t xml:space="preserve"> </w:t>
      </w:r>
    </w:p>
    <w:p w14:paraId="27619F70" w14:textId="67AD4AED" w:rsidR="0079163E" w:rsidRDefault="00650692" w:rsidP="007B295F">
      <w:pPr>
        <w:spacing w:after="0" w:line="240" w:lineRule="auto"/>
        <w:rPr>
          <w:rFonts w:ascii="Calibri" w:eastAsia="Times New Roman" w:hAnsi="Calibri" w:cs="Calibri"/>
          <w:bCs/>
        </w:rPr>
      </w:pPr>
      <w:r w:rsidRPr="00694431">
        <w:rPr>
          <w:rFonts w:ascii="Calibri" w:eastAsia="Times New Roman" w:hAnsi="Calibri" w:cs="Calibri"/>
          <w:b/>
          <w:bCs/>
          <w:i/>
          <w:color w:val="0070C0"/>
        </w:rPr>
        <w:t>Area-based</w:t>
      </w:r>
      <w:r w:rsidR="00E231C0">
        <w:rPr>
          <w:rFonts w:ascii="Calibri" w:eastAsia="Times New Roman" w:hAnsi="Calibri" w:cs="Calibri"/>
          <w:bCs/>
        </w:rPr>
        <w:t xml:space="preserve"> d</w:t>
      </w:r>
      <w:r w:rsidR="00813DF9">
        <w:rPr>
          <w:rFonts w:ascii="Calibri" w:eastAsia="Times New Roman" w:hAnsi="Calibri" w:cs="Calibri"/>
          <w:bCs/>
        </w:rPr>
        <w:t>efines interventions by area rather by sector. It involves working with the population in need in a geographic area (including displaced, refugee and host populations) and with all sectors (including international humanitarian sectors/clusters, national humanitarian service providers, and national and local institutions/authorities/municipalities) to provide a holistic response that reduces gaps in s</w:t>
      </w:r>
      <w:r w:rsidR="00D054DB">
        <w:rPr>
          <w:rFonts w:ascii="Calibri" w:eastAsia="Times New Roman" w:hAnsi="Calibri" w:cs="Calibri"/>
          <w:bCs/>
        </w:rPr>
        <w:t>ervices.</w:t>
      </w:r>
    </w:p>
    <w:p w14:paraId="4AB614CD" w14:textId="77777777" w:rsidR="00635BFF" w:rsidRDefault="00635BFF" w:rsidP="007B295F">
      <w:pPr>
        <w:spacing w:after="0" w:line="240" w:lineRule="auto"/>
        <w:rPr>
          <w:rFonts w:ascii="Calibri" w:eastAsia="Times New Roman" w:hAnsi="Calibri" w:cs="Calibri"/>
          <w:b/>
          <w:bCs/>
          <w:color w:val="0070C0"/>
          <w:sz w:val="24"/>
          <w:u w:val="single"/>
        </w:rPr>
      </w:pPr>
    </w:p>
    <w:p w14:paraId="68A2A9CF" w14:textId="261B7D7D" w:rsidR="00B0080E" w:rsidRDefault="00B0080E" w:rsidP="007B295F">
      <w:pPr>
        <w:spacing w:after="0" w:line="240" w:lineRule="auto"/>
        <w:rPr>
          <w:rFonts w:ascii="Calibri" w:eastAsia="Times New Roman" w:hAnsi="Calibri" w:cs="Calibri"/>
        </w:rPr>
      </w:pPr>
      <w:r w:rsidRPr="002E6737">
        <w:rPr>
          <w:rFonts w:ascii="Calibri" w:eastAsia="Times New Roman" w:hAnsi="Calibri" w:cs="Calibri"/>
          <w:b/>
          <w:i/>
          <w:color w:val="2E74B5" w:themeColor="accent1" w:themeShade="BF"/>
        </w:rPr>
        <w:lastRenderedPageBreak/>
        <w:t>Area-based approaches</w:t>
      </w:r>
      <w:r w:rsidRPr="002E6737">
        <w:rPr>
          <w:rFonts w:ascii="Calibri" w:eastAsia="Times New Roman" w:hAnsi="Calibri" w:cs="Calibri"/>
          <w:color w:val="2E74B5" w:themeColor="accent1" w:themeShade="BF"/>
        </w:rPr>
        <w:t xml:space="preserve"> </w:t>
      </w:r>
      <w:r w:rsidRPr="00694431">
        <w:rPr>
          <w:rFonts w:ascii="Calibri" w:eastAsia="Times New Roman" w:hAnsi="Calibri" w:cs="Calibri"/>
          <w:b/>
          <w:i/>
          <w:color w:val="2E74B5" w:themeColor="accent1" w:themeShade="BF"/>
        </w:rPr>
        <w:t>(ABAs)</w:t>
      </w:r>
      <w:r>
        <w:rPr>
          <w:rFonts w:ascii="Calibri" w:eastAsia="Times New Roman" w:hAnsi="Calibri" w:cs="Calibri"/>
          <w:color w:val="2E74B5" w:themeColor="accent1" w:themeShade="BF"/>
        </w:rPr>
        <w:t xml:space="preserve"> </w:t>
      </w:r>
      <w:r w:rsidRPr="002E6737">
        <w:rPr>
          <w:rFonts w:ascii="Calibri" w:eastAsia="Times New Roman" w:hAnsi="Calibri" w:cs="Calibri"/>
        </w:rPr>
        <w:t>also represent a coordination mechanism for humanitarian and other stakeholders, and that perhaps in ‘urban contexts this kind of multisector geographical coordination could replace the “compartmentalized” cluster system’ (</w:t>
      </w:r>
      <w:r w:rsidRPr="002E6737">
        <w:rPr>
          <w:rFonts w:ascii="Calibri" w:eastAsia="Times New Roman" w:hAnsi="Calibri" w:cs="Calibri"/>
          <w:b/>
        </w:rPr>
        <w:t>Document 1</w:t>
      </w:r>
      <w:r w:rsidRPr="002E6737">
        <w:rPr>
          <w:rFonts w:ascii="Calibri" w:eastAsia="Times New Roman" w:hAnsi="Calibri" w:cs="Calibri"/>
        </w:rPr>
        <w:t>, p.13).</w:t>
      </w:r>
    </w:p>
    <w:p w14:paraId="0AC9A768" w14:textId="77777777" w:rsidR="00B0080E" w:rsidRDefault="00B0080E" w:rsidP="007B295F">
      <w:pPr>
        <w:spacing w:after="0" w:line="240" w:lineRule="auto"/>
        <w:rPr>
          <w:rFonts w:ascii="Calibri" w:eastAsia="Times New Roman" w:hAnsi="Calibri" w:cs="Calibri"/>
          <w:b/>
          <w:bCs/>
          <w:color w:val="0070C0"/>
          <w:sz w:val="24"/>
          <w:u w:val="single"/>
        </w:rPr>
      </w:pPr>
    </w:p>
    <w:p w14:paraId="2E8C0135" w14:textId="4C172159" w:rsidR="00B0080E" w:rsidRDefault="00B0080E" w:rsidP="007B295F">
      <w:pPr>
        <w:spacing w:after="0" w:line="240" w:lineRule="auto"/>
        <w:rPr>
          <w:rFonts w:ascii="Calibri" w:eastAsia="Times New Roman" w:hAnsi="Calibri" w:cs="Calibri"/>
        </w:rPr>
      </w:pPr>
      <w:r w:rsidRPr="002E6737">
        <w:rPr>
          <w:rFonts w:ascii="Calibri" w:eastAsia="Times New Roman" w:hAnsi="Calibri" w:cs="Calibri"/>
          <w:b/>
          <w:i/>
          <w:color w:val="2E74B5" w:themeColor="accent1" w:themeShade="BF"/>
        </w:rPr>
        <w:t>Area-based approaches</w:t>
      </w:r>
      <w:r w:rsidRPr="002E6737">
        <w:rPr>
          <w:rFonts w:ascii="Calibri" w:eastAsia="Times New Roman" w:hAnsi="Calibri" w:cs="Calibri"/>
          <w:color w:val="2E74B5" w:themeColor="accent1" w:themeShade="BF"/>
        </w:rPr>
        <w:t xml:space="preserve"> </w:t>
      </w:r>
      <w:r w:rsidRPr="002E6737">
        <w:rPr>
          <w:rFonts w:ascii="Calibri" w:eastAsia="Times New Roman" w:hAnsi="Calibri" w:cs="Calibri"/>
        </w:rPr>
        <w:t>focus on problems at local level – engaging communities, local government and other organizations working or located in the vicinity. The responsibility to address the problems linked to their area shifts to the local actors (</w:t>
      </w:r>
      <w:r w:rsidRPr="002E6737">
        <w:rPr>
          <w:rFonts w:ascii="Calibri" w:eastAsia="Times New Roman" w:hAnsi="Calibri" w:cs="Calibri"/>
          <w:b/>
        </w:rPr>
        <w:t>Document 1</w:t>
      </w:r>
      <w:r w:rsidRPr="002E6737">
        <w:rPr>
          <w:rFonts w:ascii="Calibri" w:eastAsia="Times New Roman" w:hAnsi="Calibri" w:cs="Calibri"/>
        </w:rPr>
        <w:t>, p.15).</w:t>
      </w:r>
    </w:p>
    <w:p w14:paraId="49C3858F" w14:textId="77777777" w:rsidR="00B0080E" w:rsidRDefault="00B0080E" w:rsidP="007B295F">
      <w:pPr>
        <w:spacing w:after="0" w:line="240" w:lineRule="auto"/>
        <w:rPr>
          <w:rFonts w:ascii="Calibri" w:eastAsia="Times New Roman" w:hAnsi="Calibri" w:cs="Calibri"/>
          <w:b/>
          <w:bCs/>
          <w:color w:val="0070C0"/>
          <w:sz w:val="24"/>
          <w:u w:val="single"/>
        </w:rPr>
      </w:pPr>
    </w:p>
    <w:p w14:paraId="78646FF2" w14:textId="77777777" w:rsidR="00650692" w:rsidRPr="00635BFF" w:rsidRDefault="0079163E" w:rsidP="007B295F">
      <w:pPr>
        <w:spacing w:after="0" w:line="240" w:lineRule="auto"/>
        <w:rPr>
          <w:rFonts w:ascii="Calibri" w:eastAsia="Times New Roman" w:hAnsi="Calibri" w:cs="Calibri"/>
          <w:b/>
          <w:bCs/>
          <w:color w:val="0070C0"/>
          <w:sz w:val="24"/>
          <w:u w:val="single"/>
        </w:rPr>
      </w:pPr>
      <w:r w:rsidRPr="00635BFF">
        <w:rPr>
          <w:rFonts w:ascii="Calibri" w:eastAsia="Times New Roman" w:hAnsi="Calibri" w:cs="Calibri"/>
          <w:b/>
          <w:bCs/>
          <w:color w:val="0070C0"/>
          <w:sz w:val="24"/>
          <w:u w:val="single"/>
        </w:rPr>
        <w:t>Characteristics</w:t>
      </w:r>
      <w:r w:rsidR="00650692" w:rsidRPr="00635BFF">
        <w:rPr>
          <w:rFonts w:ascii="Calibri" w:eastAsia="Times New Roman" w:hAnsi="Calibri" w:cs="Calibri"/>
          <w:b/>
          <w:bCs/>
          <w:color w:val="0070C0"/>
          <w:sz w:val="24"/>
          <w:u w:val="single"/>
        </w:rPr>
        <w:t>:</w:t>
      </w:r>
    </w:p>
    <w:p w14:paraId="4AA382A5" w14:textId="7E204E3F" w:rsidR="00650692" w:rsidRPr="006B0F8E" w:rsidRDefault="00650692" w:rsidP="007B295F">
      <w:pPr>
        <w:spacing w:after="0" w:line="240" w:lineRule="auto"/>
        <w:rPr>
          <w:rFonts w:ascii="Calibri" w:eastAsia="Times New Roman" w:hAnsi="Calibri" w:cs="Calibri"/>
        </w:rPr>
      </w:pPr>
      <w:r w:rsidRPr="006B0F8E">
        <w:rPr>
          <w:rFonts w:ascii="Calibri" w:eastAsia="Times New Roman" w:hAnsi="Calibri" w:cs="Calibri"/>
        </w:rPr>
        <w:t xml:space="preserve">In an urban context, </w:t>
      </w:r>
      <w:r w:rsidRPr="00F75773">
        <w:rPr>
          <w:rFonts w:ascii="Calibri" w:eastAsia="Times New Roman" w:hAnsi="Calibri" w:cs="Calibri"/>
          <w:b/>
          <w:i/>
          <w:color w:val="0070C0"/>
        </w:rPr>
        <w:t>area-based approaches</w:t>
      </w:r>
      <w:r w:rsidR="00695139" w:rsidRPr="004603EF">
        <w:rPr>
          <w:rFonts w:ascii="Calibri" w:eastAsia="Times New Roman" w:hAnsi="Calibri" w:cs="Calibri"/>
          <w:color w:val="2E74B5" w:themeColor="accent1" w:themeShade="BF"/>
        </w:rPr>
        <w:t xml:space="preserve"> </w:t>
      </w:r>
      <w:r w:rsidRPr="006B0F8E">
        <w:rPr>
          <w:rFonts w:ascii="Calibri" w:eastAsia="Times New Roman" w:hAnsi="Calibri" w:cs="Calibri"/>
        </w:rPr>
        <w:t>have three defining characteristics: they</w:t>
      </w:r>
    </w:p>
    <w:p w14:paraId="7DD7E3E1" w14:textId="03B87B8F" w:rsidR="00650692" w:rsidRPr="006B0F8E" w:rsidRDefault="00650692" w:rsidP="007B295F">
      <w:pPr>
        <w:spacing w:after="0" w:line="240" w:lineRule="auto"/>
        <w:rPr>
          <w:rFonts w:ascii="Calibri" w:eastAsia="Times New Roman" w:hAnsi="Calibri" w:cs="Calibri"/>
        </w:rPr>
      </w:pPr>
      <w:r w:rsidRPr="006B0F8E">
        <w:rPr>
          <w:rFonts w:ascii="Calibri" w:eastAsia="Times New Roman" w:hAnsi="Calibri" w:cs="Calibri"/>
        </w:rPr>
        <w:t>are geographically targeted, multi-sectoral</w:t>
      </w:r>
      <w:r w:rsidR="0079163E">
        <w:rPr>
          <w:rFonts w:ascii="Calibri" w:eastAsia="Times New Roman" w:hAnsi="Calibri" w:cs="Calibri"/>
        </w:rPr>
        <w:t xml:space="preserve"> and adopt a </w:t>
      </w:r>
      <w:r w:rsidRPr="006B0F8E">
        <w:rPr>
          <w:rFonts w:ascii="Calibri" w:eastAsia="Times New Roman" w:hAnsi="Calibri" w:cs="Calibri"/>
        </w:rPr>
        <w:t>participatory approach. (</w:t>
      </w:r>
      <w:r w:rsidRPr="006B0F8E">
        <w:rPr>
          <w:rFonts w:ascii="Calibri" w:eastAsia="Times New Roman" w:hAnsi="Calibri" w:cs="Calibri"/>
          <w:b/>
          <w:bCs/>
        </w:rPr>
        <w:t>Document 1</w:t>
      </w:r>
      <w:r w:rsidRPr="006B0F8E">
        <w:rPr>
          <w:rFonts w:ascii="Calibri" w:eastAsia="Times New Roman" w:hAnsi="Calibri" w:cs="Calibri"/>
        </w:rPr>
        <w:t>, p.3)</w:t>
      </w:r>
    </w:p>
    <w:p w14:paraId="5E4E3D2D" w14:textId="77777777" w:rsidR="00650692" w:rsidRDefault="00650692" w:rsidP="007B295F">
      <w:pPr>
        <w:spacing w:after="0" w:line="240" w:lineRule="auto"/>
        <w:rPr>
          <w:rFonts w:ascii="Calibri" w:eastAsia="Times New Roman" w:hAnsi="Calibri" w:cs="Calibri"/>
        </w:rPr>
      </w:pPr>
    </w:p>
    <w:p w14:paraId="1FED5EBA" w14:textId="18E8BA90" w:rsidR="00650692" w:rsidRPr="006B0F8E" w:rsidRDefault="00FB236F" w:rsidP="007B295F">
      <w:pPr>
        <w:spacing w:after="0" w:line="240" w:lineRule="auto"/>
        <w:rPr>
          <w:rFonts w:ascii="Calibri" w:eastAsia="Times New Roman" w:hAnsi="Calibri" w:cs="Calibri"/>
        </w:rPr>
      </w:pPr>
      <w:r>
        <w:rPr>
          <w:rFonts w:ascii="Calibri" w:eastAsia="Times New Roman" w:hAnsi="Calibri" w:cs="Calibri"/>
        </w:rPr>
        <w:t xml:space="preserve"> </w:t>
      </w:r>
      <w:r w:rsidR="00650692" w:rsidRPr="006B0F8E">
        <w:rPr>
          <w:rFonts w:ascii="Calibri" w:eastAsia="Times New Roman" w:hAnsi="Calibri" w:cs="Calibri"/>
        </w:rPr>
        <w:t>Across the policy literature, the single most defining characteristic was that an area-based approach ‘defines an area, rather than a sector or target group as the main entry point’ (IRC 2015</w:t>
      </w:r>
      <w:r w:rsidR="0042534B">
        <w:rPr>
          <w:rFonts w:ascii="Calibri" w:eastAsia="Times New Roman" w:hAnsi="Calibri" w:cs="Calibri"/>
        </w:rPr>
        <w:t xml:space="preserve"> as cited in </w:t>
      </w:r>
      <w:r w:rsidR="0042534B" w:rsidRPr="004603EF">
        <w:rPr>
          <w:rFonts w:ascii="Calibri" w:eastAsia="Times New Roman" w:hAnsi="Calibri" w:cs="Calibri"/>
          <w:b/>
        </w:rPr>
        <w:t>Document 1</w:t>
      </w:r>
      <w:r w:rsidR="0042534B">
        <w:rPr>
          <w:rFonts w:ascii="Calibri" w:eastAsia="Times New Roman" w:hAnsi="Calibri" w:cs="Calibri"/>
        </w:rPr>
        <w:t>, p.5)</w:t>
      </w:r>
      <w:r w:rsidR="00650692" w:rsidRPr="006B0F8E">
        <w:rPr>
          <w:rFonts w:ascii="Calibri" w:eastAsia="Times New Roman" w:hAnsi="Calibri" w:cs="Calibri"/>
        </w:rPr>
        <w:t xml:space="preserve">. As such, </w:t>
      </w:r>
      <w:r w:rsidR="00650692" w:rsidRPr="004603EF">
        <w:rPr>
          <w:rFonts w:ascii="Calibri" w:eastAsia="Times New Roman" w:hAnsi="Calibri" w:cs="Calibri"/>
          <w:b/>
          <w:i/>
          <w:color w:val="0070C0"/>
        </w:rPr>
        <w:t>area-based approaches</w:t>
      </w:r>
      <w:r w:rsidR="00650692" w:rsidRPr="00F75773">
        <w:rPr>
          <w:rFonts w:ascii="Calibri" w:eastAsia="Times New Roman" w:hAnsi="Calibri" w:cs="Calibri"/>
          <w:color w:val="0070C0"/>
        </w:rPr>
        <w:t xml:space="preserve"> </w:t>
      </w:r>
      <w:r w:rsidR="00650692" w:rsidRPr="006B0F8E">
        <w:rPr>
          <w:rFonts w:ascii="Calibri" w:eastAsia="Times New Roman" w:hAnsi="Calibri" w:cs="Calibri"/>
        </w:rPr>
        <w:t xml:space="preserve">have a strong ‘focus on communities in </w:t>
      </w:r>
      <w:r w:rsidR="00650692" w:rsidRPr="004603EF">
        <w:rPr>
          <w:rFonts w:ascii="Calibri" w:eastAsia="Times New Roman" w:hAnsi="Calibri" w:cs="Calibri"/>
        </w:rPr>
        <w:t>defined spatial contexts’</w:t>
      </w:r>
      <w:r w:rsidR="00650692" w:rsidRPr="0073694D">
        <w:rPr>
          <w:rFonts w:ascii="Calibri" w:eastAsia="Times New Roman" w:hAnsi="Calibri" w:cs="Calibri"/>
        </w:rPr>
        <w:t xml:space="preserve"> </w:t>
      </w:r>
      <w:r w:rsidR="00650692" w:rsidRPr="006B0F8E">
        <w:rPr>
          <w:rFonts w:ascii="Calibri" w:eastAsia="Times New Roman" w:hAnsi="Calibri" w:cs="Calibri"/>
        </w:rPr>
        <w:t>(</w:t>
      </w:r>
      <w:r w:rsidR="0073694D" w:rsidRPr="004603EF">
        <w:rPr>
          <w:rFonts w:ascii="Calibri" w:eastAsia="Times New Roman" w:hAnsi="Calibri" w:cs="Calibri"/>
          <w:b/>
        </w:rPr>
        <w:t>Document 4</w:t>
      </w:r>
      <w:r w:rsidR="00650692" w:rsidRPr="006B0F8E">
        <w:rPr>
          <w:rFonts w:ascii="Calibri" w:eastAsia="Times New Roman" w:hAnsi="Calibri" w:cs="Calibri"/>
        </w:rPr>
        <w:t xml:space="preserve">) and the </w:t>
      </w:r>
      <w:r w:rsidR="0079163E">
        <w:rPr>
          <w:rFonts w:ascii="Calibri" w:eastAsia="Times New Roman" w:hAnsi="Calibri" w:cs="Calibri"/>
        </w:rPr>
        <w:t>response</w:t>
      </w:r>
      <w:r w:rsidR="00650692" w:rsidRPr="006B0F8E">
        <w:rPr>
          <w:rFonts w:ascii="Calibri" w:eastAsia="Times New Roman" w:hAnsi="Calibri" w:cs="Calibri"/>
        </w:rPr>
        <w:t xml:space="preserve"> seeks to address the problems associated with</w:t>
      </w:r>
      <w:r w:rsidR="0079163E">
        <w:rPr>
          <w:rFonts w:ascii="Calibri" w:eastAsia="Times New Roman" w:hAnsi="Calibri" w:cs="Calibri"/>
        </w:rPr>
        <w:t>in</w:t>
      </w:r>
      <w:r w:rsidR="00635BFF">
        <w:rPr>
          <w:rFonts w:ascii="Calibri" w:eastAsia="Times New Roman" w:hAnsi="Calibri" w:cs="Calibri"/>
        </w:rPr>
        <w:t xml:space="preserve"> that defined area </w:t>
      </w:r>
      <w:r w:rsidR="00650692" w:rsidRPr="006B0F8E">
        <w:rPr>
          <w:rFonts w:ascii="Calibri" w:eastAsia="Times New Roman" w:hAnsi="Calibri" w:cs="Calibri"/>
        </w:rPr>
        <w:t>(</w:t>
      </w:r>
      <w:r w:rsidR="00650692" w:rsidRPr="006B0F8E">
        <w:rPr>
          <w:rFonts w:ascii="Calibri" w:eastAsia="Times New Roman" w:hAnsi="Calibri" w:cs="Calibri"/>
          <w:b/>
          <w:bCs/>
        </w:rPr>
        <w:t>Document 1</w:t>
      </w:r>
      <w:r w:rsidR="00650692" w:rsidRPr="006B0F8E">
        <w:rPr>
          <w:rFonts w:ascii="Calibri" w:eastAsia="Times New Roman" w:hAnsi="Calibri" w:cs="Calibri"/>
        </w:rPr>
        <w:t>, p. 8)</w:t>
      </w:r>
      <w:r w:rsidR="00A5705D">
        <w:rPr>
          <w:rFonts w:ascii="Calibri" w:eastAsia="Times New Roman" w:hAnsi="Calibri" w:cs="Calibri"/>
        </w:rPr>
        <w:t>.</w:t>
      </w:r>
    </w:p>
    <w:p w14:paraId="7057C0C3" w14:textId="77777777" w:rsidR="00650692" w:rsidRPr="006B0F8E" w:rsidRDefault="00650692" w:rsidP="007B295F">
      <w:pPr>
        <w:spacing w:after="0" w:line="240" w:lineRule="auto"/>
        <w:rPr>
          <w:rFonts w:ascii="Calibri" w:eastAsia="Times New Roman" w:hAnsi="Calibri" w:cs="Calibri"/>
        </w:rPr>
      </w:pPr>
    </w:p>
    <w:p w14:paraId="718AE5B5" w14:textId="4077810F" w:rsidR="00650692" w:rsidRDefault="00650692" w:rsidP="007B295F">
      <w:pPr>
        <w:spacing w:after="0" w:line="240" w:lineRule="auto"/>
        <w:rPr>
          <w:rFonts w:ascii="Calibri" w:eastAsia="Times New Roman" w:hAnsi="Calibri" w:cs="Calibri"/>
        </w:rPr>
      </w:pPr>
      <w:r w:rsidRPr="00F75773">
        <w:rPr>
          <w:rFonts w:ascii="Calibri" w:eastAsia="Times New Roman" w:hAnsi="Calibri" w:cs="Calibri"/>
          <w:b/>
          <w:i/>
          <w:color w:val="0070C0"/>
        </w:rPr>
        <w:t>Area-based approaches</w:t>
      </w:r>
      <w:r w:rsidRPr="00F75773">
        <w:rPr>
          <w:rFonts w:ascii="Calibri" w:eastAsia="Times New Roman" w:hAnsi="Calibri" w:cs="Calibri"/>
          <w:color w:val="0070C0"/>
        </w:rPr>
        <w:t xml:space="preserve"> </w:t>
      </w:r>
      <w:r w:rsidRPr="006B0F8E">
        <w:rPr>
          <w:rFonts w:ascii="Calibri" w:eastAsia="Times New Roman" w:hAnsi="Calibri" w:cs="Calibri"/>
        </w:rPr>
        <w:t>are a way of ‘responding to multi-sector needs’</w:t>
      </w:r>
      <w:r>
        <w:rPr>
          <w:rFonts w:ascii="Calibri" w:eastAsia="Times New Roman" w:hAnsi="Calibri" w:cs="Calibri"/>
        </w:rPr>
        <w:t xml:space="preserve"> </w:t>
      </w:r>
      <w:r w:rsidRPr="006B0F8E">
        <w:rPr>
          <w:rFonts w:ascii="Calibri" w:eastAsia="Times New Roman" w:hAnsi="Calibri" w:cs="Calibri"/>
        </w:rPr>
        <w:t>(</w:t>
      </w:r>
      <w:r w:rsidR="0042534B" w:rsidRPr="004603EF">
        <w:rPr>
          <w:rFonts w:ascii="Calibri" w:eastAsia="Times New Roman" w:hAnsi="Calibri" w:cs="Calibri"/>
          <w:b/>
        </w:rPr>
        <w:t>Document 4</w:t>
      </w:r>
      <w:r w:rsidRPr="006B0F8E">
        <w:rPr>
          <w:rFonts w:ascii="Calibri" w:eastAsia="Times New Roman" w:hAnsi="Calibri" w:cs="Calibri"/>
        </w:rPr>
        <w:t>)</w:t>
      </w:r>
      <w:r w:rsidR="00D054DB">
        <w:rPr>
          <w:rFonts w:ascii="Calibri" w:eastAsia="Times New Roman" w:hAnsi="Calibri" w:cs="Calibri"/>
        </w:rPr>
        <w:t>.</w:t>
      </w:r>
      <w:r w:rsidRPr="006B0F8E">
        <w:rPr>
          <w:rFonts w:ascii="Calibri" w:eastAsia="Times New Roman" w:hAnsi="Calibri" w:cs="Calibri"/>
        </w:rPr>
        <w:t xml:space="preserve"> ‘</w:t>
      </w:r>
      <w:r w:rsidR="0042534B">
        <w:rPr>
          <w:rFonts w:ascii="Calibri" w:eastAsia="Times New Roman" w:hAnsi="Calibri" w:cs="Calibri"/>
        </w:rPr>
        <w:t>D</w:t>
      </w:r>
      <w:r w:rsidRPr="006B0F8E">
        <w:rPr>
          <w:rFonts w:ascii="Calibri" w:eastAsia="Times New Roman" w:hAnsi="Calibri" w:cs="Calibri"/>
        </w:rPr>
        <w:t>epending on the character of local problems and opportunities available, [an area</w:t>
      </w:r>
      <w:r>
        <w:rPr>
          <w:rFonts w:ascii="Calibri" w:eastAsia="Times New Roman" w:hAnsi="Calibri" w:cs="Calibri"/>
        </w:rPr>
        <w:t>-</w:t>
      </w:r>
      <w:r w:rsidRPr="006B0F8E">
        <w:rPr>
          <w:rFonts w:ascii="Calibri" w:eastAsia="Times New Roman" w:hAnsi="Calibri" w:cs="Calibri"/>
        </w:rPr>
        <w:t>based approach] typically embraces a range of social, economic and physical development objectives cutting across … fields such as education, housing, transport and economic development’ (</w:t>
      </w:r>
      <w:r w:rsidRPr="006B0F8E">
        <w:rPr>
          <w:rFonts w:ascii="Calibri" w:eastAsia="Times New Roman" w:hAnsi="Calibri" w:cs="Calibri"/>
          <w:b/>
          <w:bCs/>
        </w:rPr>
        <w:t>Document 1</w:t>
      </w:r>
      <w:r w:rsidRPr="006B0F8E">
        <w:rPr>
          <w:rFonts w:ascii="Calibri" w:eastAsia="Times New Roman" w:hAnsi="Calibri" w:cs="Calibri"/>
        </w:rPr>
        <w:t>, p.10)</w:t>
      </w:r>
      <w:r w:rsidR="00082EA3">
        <w:rPr>
          <w:rFonts w:ascii="Calibri" w:eastAsia="Times New Roman" w:hAnsi="Calibri" w:cs="Calibri"/>
        </w:rPr>
        <w:t xml:space="preserve">. </w:t>
      </w:r>
    </w:p>
    <w:p w14:paraId="42394035" w14:textId="2960FAAF" w:rsidR="00FB236F" w:rsidRDefault="00FB236F" w:rsidP="007B295F">
      <w:pPr>
        <w:spacing w:after="0" w:line="240" w:lineRule="auto"/>
        <w:rPr>
          <w:rFonts w:ascii="Calibri" w:eastAsia="Times New Roman" w:hAnsi="Calibri" w:cs="Calibri"/>
        </w:rPr>
      </w:pPr>
    </w:p>
    <w:p w14:paraId="2F94D2B0" w14:textId="67ACDF05" w:rsidR="00FB236F" w:rsidRDefault="00FB236F" w:rsidP="007B295F">
      <w:pPr>
        <w:spacing w:after="0" w:line="240" w:lineRule="auto"/>
        <w:rPr>
          <w:rFonts w:ascii="Calibri" w:eastAsia="Times New Roman" w:hAnsi="Calibri" w:cs="Calibri"/>
        </w:rPr>
      </w:pPr>
      <w:r>
        <w:rPr>
          <w:rFonts w:ascii="Calibri" w:eastAsia="Times New Roman" w:hAnsi="Calibri" w:cs="Calibri"/>
        </w:rPr>
        <w:t>For the CCCM cluster</w:t>
      </w:r>
      <w:r w:rsidR="002757D4">
        <w:rPr>
          <w:rFonts w:ascii="Calibri" w:eastAsia="Times New Roman" w:hAnsi="Calibri" w:cs="Calibri"/>
        </w:rPr>
        <w:t>,</w:t>
      </w:r>
      <w:r>
        <w:rPr>
          <w:rFonts w:ascii="Calibri" w:eastAsia="Times New Roman" w:hAnsi="Calibri" w:cs="Calibri"/>
        </w:rPr>
        <w:t xml:space="preserve"> </w:t>
      </w:r>
      <w:r w:rsidR="002C6F22">
        <w:rPr>
          <w:rFonts w:ascii="Calibri" w:eastAsia="Times New Roman" w:hAnsi="Calibri" w:cs="Calibri"/>
        </w:rPr>
        <w:t xml:space="preserve">an </w:t>
      </w:r>
      <w:r w:rsidRPr="00346F7B">
        <w:rPr>
          <w:rFonts w:ascii="Calibri" w:eastAsia="Times New Roman" w:hAnsi="Calibri" w:cs="Calibri"/>
          <w:b/>
          <w:i/>
          <w:color w:val="2E74B5" w:themeColor="accent1" w:themeShade="BF"/>
        </w:rPr>
        <w:t>area-based</w:t>
      </w:r>
      <w:r w:rsidRPr="00346F7B">
        <w:rPr>
          <w:rFonts w:ascii="Calibri" w:eastAsia="Times New Roman" w:hAnsi="Calibri" w:cs="Calibri"/>
          <w:color w:val="2E74B5" w:themeColor="accent1" w:themeShade="BF"/>
        </w:rPr>
        <w:t xml:space="preserve"> </w:t>
      </w:r>
      <w:r w:rsidRPr="00346F7B">
        <w:rPr>
          <w:rFonts w:ascii="Calibri" w:eastAsia="Times New Roman" w:hAnsi="Calibri" w:cs="Calibri"/>
          <w:b/>
          <w:i/>
          <w:color w:val="2E74B5" w:themeColor="accent1" w:themeShade="BF"/>
        </w:rPr>
        <w:t>approach</w:t>
      </w:r>
      <w:r w:rsidR="002C6F22">
        <w:rPr>
          <w:rFonts w:ascii="Calibri" w:eastAsia="Times New Roman" w:hAnsi="Calibri" w:cs="Calibri"/>
        </w:rPr>
        <w:t xml:space="preserve"> is</w:t>
      </w:r>
      <w:r>
        <w:rPr>
          <w:rFonts w:ascii="Calibri" w:eastAsia="Times New Roman" w:hAnsi="Calibri" w:cs="Calibri"/>
        </w:rPr>
        <w:t xml:space="preserve"> used i</w:t>
      </w:r>
      <w:r w:rsidR="002C6F22">
        <w:rPr>
          <w:rFonts w:ascii="Calibri" w:eastAsia="Times New Roman" w:hAnsi="Calibri" w:cs="Calibri"/>
        </w:rPr>
        <w:t>n</w:t>
      </w:r>
      <w:r>
        <w:rPr>
          <w:rFonts w:ascii="Calibri" w:eastAsia="Times New Roman" w:hAnsi="Calibri" w:cs="Calibri"/>
        </w:rPr>
        <w:t xml:space="preserve"> </w:t>
      </w:r>
      <w:r w:rsidR="002757D4">
        <w:rPr>
          <w:rFonts w:ascii="Calibri" w:eastAsia="Times New Roman" w:hAnsi="Calibri" w:cs="Calibri"/>
        </w:rPr>
        <w:t>M</w:t>
      </w:r>
      <w:r>
        <w:rPr>
          <w:rFonts w:ascii="Calibri" w:eastAsia="Times New Roman" w:hAnsi="Calibri" w:cs="Calibri"/>
        </w:rPr>
        <w:t xml:space="preserve">obile </w:t>
      </w:r>
      <w:r w:rsidR="002757D4">
        <w:rPr>
          <w:rFonts w:ascii="Calibri" w:eastAsia="Times New Roman" w:hAnsi="Calibri" w:cs="Calibri"/>
        </w:rPr>
        <w:t>S</w:t>
      </w:r>
      <w:r>
        <w:rPr>
          <w:rFonts w:ascii="Calibri" w:eastAsia="Times New Roman" w:hAnsi="Calibri" w:cs="Calibri"/>
        </w:rPr>
        <w:t xml:space="preserve">ite </w:t>
      </w:r>
      <w:r w:rsidR="002757D4">
        <w:rPr>
          <w:rFonts w:ascii="Calibri" w:eastAsia="Times New Roman" w:hAnsi="Calibri" w:cs="Calibri"/>
        </w:rPr>
        <w:t>M</w:t>
      </w:r>
      <w:r>
        <w:rPr>
          <w:rFonts w:ascii="Calibri" w:eastAsia="Times New Roman" w:hAnsi="Calibri" w:cs="Calibri"/>
        </w:rPr>
        <w:t>anagement, for which mobile teams cover a number of sites in a specified area to coordinate and monitor the services provided by different agencies in a variety of sectors. This approach is used when a single site does not warrant full time management and is applicable in both urban and non-urban contexts (</w:t>
      </w:r>
      <w:r w:rsidRPr="004603EF">
        <w:rPr>
          <w:rFonts w:ascii="Calibri" w:eastAsia="Times New Roman" w:hAnsi="Calibri" w:cs="Calibri"/>
          <w:b/>
        </w:rPr>
        <w:t>Collective Centre Guidelines</w:t>
      </w:r>
      <w:r>
        <w:rPr>
          <w:rFonts w:ascii="Calibri" w:eastAsia="Times New Roman" w:hAnsi="Calibri" w:cs="Calibri"/>
        </w:rPr>
        <w:t>, p. 15).</w:t>
      </w:r>
      <w:r w:rsidRPr="00FB236F">
        <w:rPr>
          <w:sz w:val="23"/>
          <w:szCs w:val="23"/>
        </w:rPr>
        <w:t xml:space="preserve"> </w:t>
      </w:r>
      <w:r>
        <w:rPr>
          <w:sz w:val="23"/>
          <w:szCs w:val="23"/>
        </w:rPr>
        <w:t>Mobile Site Management can focus particularly on building the capacity of participatory community structures to engage in the care and maintenance of their sites, to coordinate and interact with service providers, and to ensure protection of the most vulnerable.</w:t>
      </w:r>
    </w:p>
    <w:p w14:paraId="4D7ED6CD" w14:textId="5CB53B9A" w:rsidR="00FB236F" w:rsidRPr="002B5267" w:rsidRDefault="00FB236F" w:rsidP="002B5267">
      <w:pPr>
        <w:jc w:val="both"/>
        <w:rPr>
          <w:b/>
          <w:sz w:val="28"/>
        </w:rPr>
      </w:pPr>
      <w:r>
        <w:rPr>
          <w:rFonts w:ascii="Calibri" w:eastAsia="Times New Roman" w:hAnsi="Calibri" w:cs="Calibri"/>
        </w:rPr>
        <w:t>The Global CCCM Cluster</w:t>
      </w:r>
      <w:r w:rsidR="002757D4">
        <w:rPr>
          <w:rFonts w:ascii="Calibri" w:eastAsia="Times New Roman" w:hAnsi="Calibri" w:cs="Calibri"/>
        </w:rPr>
        <w:t>’s</w:t>
      </w:r>
      <w:r>
        <w:rPr>
          <w:rFonts w:ascii="Calibri" w:eastAsia="Times New Roman" w:hAnsi="Calibri" w:cs="Calibri"/>
        </w:rPr>
        <w:t xml:space="preserve"> Urban Displacement and Outside of Camp (UDOC) desk review suggests a community-centred or </w:t>
      </w:r>
      <w:r w:rsidRPr="00346F7B">
        <w:rPr>
          <w:rFonts w:ascii="Calibri" w:eastAsia="Times New Roman" w:hAnsi="Calibri" w:cs="Calibri"/>
          <w:b/>
          <w:i/>
          <w:color w:val="2E74B5" w:themeColor="accent1" w:themeShade="BF"/>
        </w:rPr>
        <w:t>area-based</w:t>
      </w:r>
      <w:r w:rsidRPr="00346F7B">
        <w:rPr>
          <w:rFonts w:ascii="Calibri" w:eastAsia="Times New Roman" w:hAnsi="Calibri" w:cs="Calibri"/>
          <w:color w:val="2E74B5" w:themeColor="accent1" w:themeShade="BF"/>
        </w:rPr>
        <w:t xml:space="preserve"> </w:t>
      </w:r>
      <w:r w:rsidRPr="00346F7B">
        <w:rPr>
          <w:rFonts w:ascii="Calibri" w:eastAsia="Times New Roman" w:hAnsi="Calibri" w:cs="Calibri"/>
          <w:b/>
          <w:i/>
          <w:color w:val="2E74B5" w:themeColor="accent1" w:themeShade="BF"/>
        </w:rPr>
        <w:t>approach</w:t>
      </w:r>
      <w:r>
        <w:rPr>
          <w:rFonts w:ascii="Calibri" w:eastAsia="Times New Roman" w:hAnsi="Calibri" w:cs="Calibri"/>
        </w:rPr>
        <w:t xml:space="preserve"> within a defined geographical area that ‘facilitate[s] exchanges between service providers, communities, local authorities and other actors’ (</w:t>
      </w:r>
      <w:r w:rsidRPr="004603EF">
        <w:rPr>
          <w:rFonts w:ascii="Calibri" w:eastAsia="Times New Roman" w:hAnsi="Calibri" w:cs="Calibri"/>
          <w:b/>
        </w:rPr>
        <w:t>UDOC</w:t>
      </w:r>
      <w:r>
        <w:rPr>
          <w:rFonts w:ascii="Calibri" w:eastAsia="Times New Roman" w:hAnsi="Calibri" w:cs="Calibri"/>
        </w:rPr>
        <w:t xml:space="preserve"> p. 76). Specifically, a resource centre model can respond to needs of both the displaced and host populations within an area and can be designed for handover in order to support local governance structures for long-term sustainability. </w:t>
      </w:r>
      <w:r w:rsidRPr="00247579">
        <w:t>The area</w:t>
      </w:r>
      <w:r>
        <w:t>(s)</w:t>
      </w:r>
      <w:r w:rsidRPr="00247579">
        <w:t xml:space="preserve"> of intervention is</w:t>
      </w:r>
      <w:r>
        <w:t>/are</w:t>
      </w:r>
      <w:r w:rsidRPr="00247579">
        <w:t xml:space="preserve"> selected from </w:t>
      </w:r>
      <w:r w:rsidRPr="00247579">
        <w:rPr>
          <w:rFonts w:cstheme="minorHAnsi"/>
        </w:rPr>
        <w:t xml:space="preserve">among the most vulnerable areas, where there is a large ratio of displaced persons to host community. </w:t>
      </w:r>
      <w:r>
        <w:t>As</w:t>
      </w:r>
      <w:r w:rsidRPr="00733DC3">
        <w:t xml:space="preserve"> </w:t>
      </w:r>
      <w:r w:rsidRPr="002E6737">
        <w:rPr>
          <w:b/>
          <w:i/>
          <w:color w:val="2E74B5" w:themeColor="accent1" w:themeShade="BF"/>
        </w:rPr>
        <w:t>area-based approach</w:t>
      </w:r>
      <w:r>
        <w:rPr>
          <w:b/>
          <w:i/>
          <w:color w:val="2E74B5" w:themeColor="accent1" w:themeShade="BF"/>
        </w:rPr>
        <w:t>es</w:t>
      </w:r>
      <w:r w:rsidRPr="004603EF">
        <w:rPr>
          <w:color w:val="2E74B5" w:themeColor="accent1" w:themeShade="BF"/>
        </w:rPr>
        <w:t xml:space="preserve"> </w:t>
      </w:r>
      <w:r w:rsidRPr="00733DC3">
        <w:t>provide a method of assisting vulnerable populations alongside those affected by the crises</w:t>
      </w:r>
      <w:r>
        <w:t xml:space="preserve">, they can ‘contribute to improving social cohesion’ </w:t>
      </w:r>
      <w:r w:rsidRPr="00733DC3">
        <w:t>(IDMC et al. 2015</w:t>
      </w:r>
      <w:r>
        <w:t xml:space="preserve"> as cited in </w:t>
      </w:r>
      <w:r w:rsidRPr="002757D4">
        <w:rPr>
          <w:b/>
        </w:rPr>
        <w:t>Document 1</w:t>
      </w:r>
      <w:r>
        <w:t>, p. 13</w:t>
      </w:r>
      <w:r w:rsidRPr="00733DC3">
        <w:t>)</w:t>
      </w:r>
      <w:r>
        <w:t>.</w:t>
      </w:r>
    </w:p>
    <w:p w14:paraId="03C58D00" w14:textId="5130D022" w:rsidR="00B0080E" w:rsidRDefault="00082EA3" w:rsidP="007B295F">
      <w:pPr>
        <w:spacing w:after="0" w:line="240" w:lineRule="auto"/>
        <w:rPr>
          <w:rFonts w:ascii="Calibri" w:eastAsia="Times New Roman" w:hAnsi="Calibri" w:cs="Calibri"/>
        </w:rPr>
      </w:pPr>
      <w:r w:rsidRPr="00733DC3">
        <w:rPr>
          <w:rFonts w:ascii="Calibri" w:eastAsia="Times New Roman" w:hAnsi="Calibri" w:cs="Calibri"/>
          <w:b/>
          <w:i/>
          <w:color w:val="0070C0"/>
        </w:rPr>
        <w:t>Area-based approaches</w:t>
      </w:r>
      <w:r w:rsidRPr="00733DC3">
        <w:rPr>
          <w:rFonts w:ascii="Calibri" w:eastAsia="Times New Roman" w:hAnsi="Calibri" w:cs="Calibri"/>
          <w:color w:val="0070C0"/>
        </w:rPr>
        <w:t xml:space="preserve"> </w:t>
      </w:r>
      <w:r w:rsidRPr="00733DC3">
        <w:rPr>
          <w:rFonts w:ascii="Calibri" w:eastAsia="Times New Roman" w:hAnsi="Calibri" w:cs="Calibri"/>
        </w:rPr>
        <w:t>have also long been adopted in international urban development programs</w:t>
      </w:r>
      <w:r w:rsidR="00D054DB">
        <w:rPr>
          <w:rFonts w:ascii="Calibri" w:eastAsia="Times New Roman" w:hAnsi="Calibri" w:cs="Calibri"/>
        </w:rPr>
        <w:t xml:space="preserve"> to target geographical areas of deprivation and promote investment in key socio-economic infrastructure. </w:t>
      </w:r>
      <w:r w:rsidRPr="00733DC3">
        <w:rPr>
          <w:rFonts w:ascii="Calibri" w:eastAsia="Times New Roman" w:hAnsi="Calibri" w:cs="Calibri"/>
        </w:rPr>
        <w:t>(</w:t>
      </w:r>
      <w:r w:rsidRPr="00733DC3">
        <w:rPr>
          <w:rFonts w:ascii="Calibri" w:eastAsia="Times New Roman" w:hAnsi="Calibri" w:cs="Calibri"/>
          <w:b/>
          <w:bCs/>
        </w:rPr>
        <w:t>Document 1</w:t>
      </w:r>
      <w:r w:rsidRPr="00733DC3">
        <w:rPr>
          <w:rFonts w:ascii="Calibri" w:eastAsia="Times New Roman" w:hAnsi="Calibri" w:cs="Calibri"/>
        </w:rPr>
        <w:t>, p.11)</w:t>
      </w:r>
      <w:r w:rsidR="00EE051B">
        <w:rPr>
          <w:rFonts w:ascii="Calibri" w:eastAsia="Times New Roman" w:hAnsi="Calibri" w:cs="Calibri"/>
        </w:rPr>
        <w:t xml:space="preserve">.  </w:t>
      </w:r>
    </w:p>
    <w:p w14:paraId="1781B244" w14:textId="77777777" w:rsidR="00733DC3" w:rsidRPr="004603EF" w:rsidRDefault="00733DC3" w:rsidP="00694431">
      <w:pPr>
        <w:spacing w:after="0" w:line="240" w:lineRule="auto"/>
      </w:pPr>
    </w:p>
    <w:bookmarkEnd w:id="0"/>
    <w:p w14:paraId="46A2CC4D" w14:textId="77777777" w:rsidR="00E04732" w:rsidRDefault="00E04732">
      <w:pPr>
        <w:rPr>
          <w:rFonts w:ascii="Calibri" w:eastAsia="Times New Roman" w:hAnsi="Calibri" w:cs="Calibri"/>
          <w:b/>
          <w:bCs/>
          <w:color w:val="0070C0"/>
          <w:sz w:val="28"/>
          <w:u w:val="single"/>
        </w:rPr>
      </w:pPr>
      <w:r>
        <w:rPr>
          <w:rFonts w:ascii="Calibri" w:eastAsia="Times New Roman" w:hAnsi="Calibri" w:cs="Calibri"/>
          <w:b/>
          <w:bCs/>
          <w:color w:val="0070C0"/>
          <w:sz w:val="28"/>
          <w:u w:val="single"/>
        </w:rPr>
        <w:br w:type="page"/>
      </w:r>
    </w:p>
    <w:p w14:paraId="491B3133" w14:textId="439F0580" w:rsidR="00F75773" w:rsidRPr="008C0F98" w:rsidRDefault="00F75773" w:rsidP="007B295F">
      <w:pPr>
        <w:pStyle w:val="ListParagraph"/>
        <w:numPr>
          <w:ilvl w:val="0"/>
          <w:numId w:val="5"/>
        </w:numPr>
        <w:spacing w:after="0" w:line="240" w:lineRule="auto"/>
        <w:rPr>
          <w:rFonts w:ascii="Calibri" w:eastAsia="Times New Roman" w:hAnsi="Calibri" w:cs="Calibri"/>
          <w:b/>
          <w:bCs/>
          <w:color w:val="0070C0"/>
          <w:sz w:val="28"/>
          <w:u w:val="single"/>
        </w:rPr>
      </w:pPr>
      <w:r w:rsidRPr="008C0F98">
        <w:rPr>
          <w:rFonts w:ascii="Calibri" w:eastAsia="Times New Roman" w:hAnsi="Calibri" w:cs="Calibri"/>
          <w:b/>
          <w:bCs/>
          <w:color w:val="0070C0"/>
          <w:sz w:val="28"/>
          <w:u w:val="single"/>
        </w:rPr>
        <w:lastRenderedPageBreak/>
        <w:t>SETTLEMENTS</w:t>
      </w:r>
    </w:p>
    <w:p w14:paraId="02548304" w14:textId="77777777" w:rsidR="00F81DBE" w:rsidRDefault="00F81DBE" w:rsidP="007B295F">
      <w:pPr>
        <w:pStyle w:val="ListParagraph"/>
        <w:spacing w:after="0" w:line="240" w:lineRule="auto"/>
        <w:ind w:left="360"/>
        <w:rPr>
          <w:rFonts w:ascii="Calibri" w:eastAsia="Times New Roman" w:hAnsi="Calibri" w:cs="Calibri"/>
          <w:bCs/>
        </w:rPr>
      </w:pPr>
    </w:p>
    <w:p w14:paraId="7F32F383" w14:textId="77777777" w:rsidR="00F81DBE" w:rsidRPr="00635BFF" w:rsidRDefault="00F81DBE" w:rsidP="007B295F">
      <w:pPr>
        <w:spacing w:after="0" w:line="240" w:lineRule="auto"/>
        <w:rPr>
          <w:rFonts w:ascii="Calibri" w:eastAsia="Times New Roman" w:hAnsi="Calibri" w:cs="Calibri"/>
          <w:b/>
          <w:bCs/>
          <w:color w:val="0070C0"/>
          <w:sz w:val="24"/>
          <w:u w:val="single"/>
        </w:rPr>
      </w:pPr>
      <w:r w:rsidRPr="00635BFF">
        <w:rPr>
          <w:rFonts w:ascii="Calibri" w:eastAsia="Times New Roman" w:hAnsi="Calibri" w:cs="Calibri"/>
          <w:b/>
          <w:bCs/>
          <w:color w:val="0070C0"/>
          <w:sz w:val="24"/>
          <w:u w:val="single"/>
        </w:rPr>
        <w:t>Definitions:</w:t>
      </w:r>
    </w:p>
    <w:p w14:paraId="350816FF" w14:textId="25EFC4E4" w:rsidR="00E231C0" w:rsidRPr="006B0F8E" w:rsidRDefault="00E231C0" w:rsidP="007B295F">
      <w:pPr>
        <w:spacing w:after="0" w:line="240" w:lineRule="auto"/>
        <w:rPr>
          <w:rFonts w:ascii="Calibri" w:eastAsia="Times New Roman" w:hAnsi="Calibri" w:cs="Calibri"/>
        </w:rPr>
      </w:pPr>
      <w:r w:rsidRPr="004603EF">
        <w:rPr>
          <w:rFonts w:ascii="Calibri" w:eastAsia="Times New Roman" w:hAnsi="Calibri" w:cs="Calibri"/>
        </w:rPr>
        <w:t xml:space="preserve">A </w:t>
      </w:r>
      <w:r w:rsidRPr="00F75773">
        <w:rPr>
          <w:rFonts w:ascii="Calibri" w:eastAsia="Times New Roman" w:hAnsi="Calibri" w:cs="Calibri"/>
          <w:b/>
          <w:i/>
          <w:color w:val="0070C0"/>
        </w:rPr>
        <w:t>settlement</w:t>
      </w:r>
      <w:r w:rsidRPr="00F75773">
        <w:rPr>
          <w:rFonts w:ascii="Calibri" w:eastAsia="Times New Roman" w:hAnsi="Calibri" w:cs="Calibri"/>
          <w:color w:val="0070C0"/>
        </w:rPr>
        <w:t xml:space="preserve"> </w:t>
      </w:r>
      <w:r w:rsidRPr="006B0F8E">
        <w:rPr>
          <w:rFonts w:ascii="Calibri" w:eastAsia="Times New Roman" w:hAnsi="Calibri" w:cs="Calibri"/>
        </w:rPr>
        <w:t>derives from the struc</w:t>
      </w:r>
      <w:r>
        <w:rPr>
          <w:rFonts w:ascii="Calibri" w:eastAsia="Times New Roman" w:hAnsi="Calibri" w:cs="Calibri"/>
        </w:rPr>
        <w:t xml:space="preserve">tured landscape of a territory and </w:t>
      </w:r>
      <w:r w:rsidRPr="006B0F8E">
        <w:rPr>
          <w:rFonts w:ascii="Calibri" w:eastAsia="Times New Roman" w:hAnsi="Calibri" w:cs="Calibri"/>
        </w:rPr>
        <w:t>must address the needs of the community at large and be designed with the active involvement of affected populations, partners, and all sectors (</w:t>
      </w:r>
      <w:r w:rsidRPr="006B0F8E">
        <w:rPr>
          <w:rFonts w:ascii="Calibri" w:eastAsia="Times New Roman" w:hAnsi="Calibri" w:cs="Calibri"/>
          <w:b/>
        </w:rPr>
        <w:t>Document 6</w:t>
      </w:r>
      <w:r w:rsidRPr="006B0F8E">
        <w:rPr>
          <w:rFonts w:ascii="Calibri" w:eastAsia="Times New Roman" w:hAnsi="Calibri" w:cs="Calibri"/>
        </w:rPr>
        <w:t>, p.16)</w:t>
      </w:r>
      <w:r>
        <w:rPr>
          <w:rFonts w:ascii="Calibri" w:eastAsia="Times New Roman" w:hAnsi="Calibri" w:cs="Calibri"/>
        </w:rPr>
        <w:t xml:space="preserve">. </w:t>
      </w:r>
      <w:r>
        <w:rPr>
          <w:rFonts w:ascii="Calibri" w:eastAsia="Times New Roman" w:hAnsi="Calibri" w:cs="Calibri"/>
          <w:b/>
          <w:i/>
          <w:color w:val="0070C0"/>
        </w:rPr>
        <w:t>S</w:t>
      </w:r>
      <w:r w:rsidRPr="00F75773">
        <w:rPr>
          <w:rFonts w:ascii="Calibri" w:eastAsia="Times New Roman" w:hAnsi="Calibri" w:cs="Calibri"/>
          <w:b/>
          <w:i/>
          <w:color w:val="0070C0"/>
        </w:rPr>
        <w:t>ettlements</w:t>
      </w:r>
      <w:r w:rsidRPr="00F75773">
        <w:rPr>
          <w:rFonts w:ascii="Calibri" w:eastAsia="Times New Roman" w:hAnsi="Calibri" w:cs="Calibri"/>
          <w:color w:val="0070C0"/>
        </w:rPr>
        <w:t xml:space="preserve"> </w:t>
      </w:r>
      <w:r w:rsidRPr="006B0F8E">
        <w:rPr>
          <w:rFonts w:ascii="Calibri" w:eastAsia="Times New Roman" w:hAnsi="Calibri" w:cs="Calibri"/>
        </w:rPr>
        <w:t>should not be understood simply as safe physical spaces containing shelters and other basic services, but as socially acceptable and socioeconomically viable living environments (</w:t>
      </w:r>
      <w:r w:rsidRPr="006B0F8E">
        <w:rPr>
          <w:rFonts w:ascii="Calibri" w:eastAsia="Times New Roman" w:hAnsi="Calibri" w:cs="Calibri"/>
          <w:b/>
        </w:rPr>
        <w:t xml:space="preserve">Document 5, </w:t>
      </w:r>
      <w:r w:rsidRPr="006B0F8E">
        <w:rPr>
          <w:rFonts w:ascii="Calibri" w:eastAsia="Times New Roman" w:hAnsi="Calibri" w:cs="Calibri"/>
        </w:rPr>
        <w:t>p.2)</w:t>
      </w:r>
      <w:r>
        <w:rPr>
          <w:rFonts w:ascii="Calibri" w:eastAsia="Times New Roman" w:hAnsi="Calibri" w:cs="Calibri"/>
        </w:rPr>
        <w:t>.</w:t>
      </w:r>
    </w:p>
    <w:p w14:paraId="0FB88662" w14:textId="77777777" w:rsidR="00E231C0" w:rsidRDefault="00E231C0" w:rsidP="007B295F">
      <w:pPr>
        <w:pStyle w:val="ListParagraph"/>
        <w:spacing w:after="0" w:line="240" w:lineRule="auto"/>
        <w:ind w:left="0"/>
        <w:rPr>
          <w:rFonts w:ascii="Calibri" w:eastAsia="Times New Roman" w:hAnsi="Calibri" w:cs="Calibri"/>
          <w:b/>
          <w:bCs/>
          <w:i/>
          <w:color w:val="0070C0"/>
        </w:rPr>
      </w:pPr>
    </w:p>
    <w:p w14:paraId="14D85914" w14:textId="1B27FBA6" w:rsidR="008A0E6F" w:rsidRDefault="006B0F8E" w:rsidP="007B295F">
      <w:pPr>
        <w:pStyle w:val="ListParagraph"/>
        <w:spacing w:after="0" w:line="240" w:lineRule="auto"/>
        <w:ind w:left="0"/>
        <w:rPr>
          <w:rFonts w:ascii="Calibri" w:eastAsia="Times New Roman" w:hAnsi="Calibri" w:cs="Calibri"/>
          <w:bCs/>
        </w:rPr>
      </w:pPr>
      <w:r w:rsidRPr="004603EF">
        <w:rPr>
          <w:rFonts w:ascii="Calibri" w:eastAsia="Times New Roman" w:hAnsi="Calibri" w:cs="Calibri"/>
          <w:b/>
          <w:bCs/>
          <w:i/>
          <w:color w:val="0070C0"/>
        </w:rPr>
        <w:t>Settlement(s) approaches</w:t>
      </w:r>
      <w:r w:rsidRPr="00F75773">
        <w:rPr>
          <w:rFonts w:ascii="Calibri" w:eastAsia="Times New Roman" w:hAnsi="Calibri" w:cs="Calibri"/>
          <w:bCs/>
          <w:color w:val="0070C0"/>
        </w:rPr>
        <w:t xml:space="preserve"> </w:t>
      </w:r>
      <w:r w:rsidR="00E231C0" w:rsidRPr="00694431">
        <w:rPr>
          <w:rFonts w:ascii="Calibri" w:eastAsia="Times New Roman" w:hAnsi="Calibri" w:cs="Calibri"/>
          <w:bCs/>
        </w:rPr>
        <w:t>a</w:t>
      </w:r>
      <w:r w:rsidR="00E231C0">
        <w:rPr>
          <w:rFonts w:ascii="Calibri" w:eastAsia="Times New Roman" w:hAnsi="Calibri" w:cs="Calibri"/>
          <w:bCs/>
        </w:rPr>
        <w:t>re area-based in that they f</w:t>
      </w:r>
      <w:r w:rsidRPr="00F75773">
        <w:rPr>
          <w:rFonts w:ascii="Calibri" w:eastAsia="Times New Roman" w:hAnsi="Calibri" w:cs="Calibri"/>
          <w:bCs/>
        </w:rPr>
        <w:t>ocus on a specific geographical area</w:t>
      </w:r>
      <w:r w:rsidR="004A211B">
        <w:rPr>
          <w:rFonts w:ascii="Calibri" w:eastAsia="Times New Roman" w:hAnsi="Calibri" w:cs="Calibri"/>
          <w:bCs/>
        </w:rPr>
        <w:t xml:space="preserve"> and adopt a participatory, multi-sectoral approach that </w:t>
      </w:r>
      <w:r w:rsidR="00E231C0">
        <w:rPr>
          <w:rFonts w:ascii="Calibri" w:eastAsia="Times New Roman" w:hAnsi="Calibri" w:cs="Calibri"/>
          <w:bCs/>
        </w:rPr>
        <w:t>include</w:t>
      </w:r>
      <w:r w:rsidR="004A211B">
        <w:rPr>
          <w:rFonts w:ascii="Calibri" w:eastAsia="Times New Roman" w:hAnsi="Calibri" w:cs="Calibri"/>
          <w:bCs/>
        </w:rPr>
        <w:t>s</w:t>
      </w:r>
      <w:r w:rsidR="00E231C0">
        <w:rPr>
          <w:rFonts w:ascii="Calibri" w:eastAsia="Times New Roman" w:hAnsi="Calibri" w:cs="Calibri"/>
          <w:bCs/>
        </w:rPr>
        <w:t xml:space="preserve"> </w:t>
      </w:r>
      <w:r w:rsidRPr="00F75773">
        <w:rPr>
          <w:rFonts w:ascii="Calibri" w:eastAsia="Times New Roman" w:hAnsi="Calibri" w:cs="Calibri"/>
          <w:bCs/>
        </w:rPr>
        <w:t>various informal or formal (governance</w:t>
      </w:r>
      <w:r w:rsidR="00733DC3">
        <w:rPr>
          <w:rFonts w:ascii="Calibri" w:eastAsia="Times New Roman" w:hAnsi="Calibri" w:cs="Calibri"/>
          <w:bCs/>
        </w:rPr>
        <w:t xml:space="preserve"> or </w:t>
      </w:r>
      <w:r w:rsidR="00EB1E7B">
        <w:rPr>
          <w:rFonts w:ascii="Calibri" w:eastAsia="Times New Roman" w:hAnsi="Calibri" w:cs="Calibri"/>
          <w:bCs/>
        </w:rPr>
        <w:t>social</w:t>
      </w:r>
      <w:r w:rsidRPr="00F75773">
        <w:rPr>
          <w:rFonts w:ascii="Calibri" w:eastAsia="Times New Roman" w:hAnsi="Calibri" w:cs="Calibri"/>
          <w:bCs/>
        </w:rPr>
        <w:t xml:space="preserve">) structures </w:t>
      </w:r>
      <w:r w:rsidR="00E231C0">
        <w:rPr>
          <w:rFonts w:ascii="Calibri" w:eastAsia="Times New Roman" w:hAnsi="Calibri" w:cs="Calibri"/>
          <w:bCs/>
        </w:rPr>
        <w:t>in addition to</w:t>
      </w:r>
      <w:r w:rsidRPr="00F75773">
        <w:rPr>
          <w:rFonts w:ascii="Calibri" w:eastAsia="Times New Roman" w:hAnsi="Calibri" w:cs="Calibri"/>
          <w:bCs/>
        </w:rPr>
        <w:t xml:space="preserve"> buildings and local infrastructure</w:t>
      </w:r>
      <w:r w:rsidR="00E231C0">
        <w:rPr>
          <w:rFonts w:ascii="Calibri" w:eastAsia="Times New Roman" w:hAnsi="Calibri" w:cs="Calibri"/>
          <w:bCs/>
        </w:rPr>
        <w:t xml:space="preserve">. This approach </w:t>
      </w:r>
      <w:r w:rsidRPr="00F75773">
        <w:rPr>
          <w:rFonts w:ascii="Calibri" w:eastAsia="Times New Roman" w:hAnsi="Calibri" w:cs="Calibri"/>
          <w:bCs/>
        </w:rPr>
        <w:t>includes the living environments and human settlements</w:t>
      </w:r>
      <w:r w:rsidR="006E441F">
        <w:rPr>
          <w:rFonts w:ascii="Calibri" w:eastAsia="Times New Roman" w:hAnsi="Calibri" w:cs="Calibri"/>
          <w:bCs/>
        </w:rPr>
        <w:t xml:space="preserve"> such as </w:t>
      </w:r>
      <w:r w:rsidRPr="00F75773">
        <w:rPr>
          <w:rFonts w:ascii="Calibri" w:eastAsia="Times New Roman" w:hAnsi="Calibri" w:cs="Calibri"/>
          <w:bCs/>
        </w:rPr>
        <w:t>neighborhoods</w:t>
      </w:r>
      <w:r w:rsidR="00E231C0">
        <w:rPr>
          <w:rFonts w:ascii="Calibri" w:eastAsia="Times New Roman" w:hAnsi="Calibri" w:cs="Calibri"/>
          <w:bCs/>
        </w:rPr>
        <w:t xml:space="preserve"> and</w:t>
      </w:r>
      <w:r w:rsidRPr="00F75773">
        <w:rPr>
          <w:rFonts w:ascii="Calibri" w:eastAsia="Times New Roman" w:hAnsi="Calibri" w:cs="Calibri"/>
          <w:bCs/>
        </w:rPr>
        <w:t xml:space="preserve"> is </w:t>
      </w:r>
      <w:r w:rsidR="006E441F">
        <w:rPr>
          <w:rFonts w:ascii="Calibri" w:eastAsia="Times New Roman" w:hAnsi="Calibri" w:cs="Calibri"/>
          <w:bCs/>
        </w:rPr>
        <w:t xml:space="preserve">often </w:t>
      </w:r>
      <w:r w:rsidRPr="00F75773">
        <w:rPr>
          <w:rFonts w:ascii="Calibri" w:eastAsia="Times New Roman" w:hAnsi="Calibri" w:cs="Calibri"/>
          <w:bCs/>
        </w:rPr>
        <w:t>approached from a holistic</w:t>
      </w:r>
      <w:r w:rsidR="008A0E6F">
        <w:rPr>
          <w:rFonts w:ascii="Calibri" w:eastAsia="Times New Roman" w:hAnsi="Calibri" w:cs="Calibri"/>
          <w:bCs/>
        </w:rPr>
        <w:t xml:space="preserve">, </w:t>
      </w:r>
      <w:r w:rsidRPr="00F75773">
        <w:rPr>
          <w:rFonts w:ascii="Calibri" w:eastAsia="Times New Roman" w:hAnsi="Calibri" w:cs="Calibri"/>
          <w:bCs/>
        </w:rPr>
        <w:t>multi-sector/stakeholder</w:t>
      </w:r>
      <w:r w:rsidR="008A0E6F">
        <w:rPr>
          <w:rFonts w:ascii="Calibri" w:eastAsia="Times New Roman" w:hAnsi="Calibri" w:cs="Calibri"/>
          <w:bCs/>
        </w:rPr>
        <w:t xml:space="preserve"> </w:t>
      </w:r>
      <w:r w:rsidRPr="00F75773">
        <w:rPr>
          <w:rFonts w:ascii="Calibri" w:eastAsia="Times New Roman" w:hAnsi="Calibri" w:cs="Calibri"/>
          <w:bCs/>
        </w:rPr>
        <w:t>perspective.</w:t>
      </w:r>
      <w:r w:rsidR="007B295F">
        <w:rPr>
          <w:rFonts w:ascii="Calibri" w:eastAsia="Times New Roman" w:hAnsi="Calibri" w:cs="Calibri"/>
          <w:bCs/>
        </w:rPr>
        <w:t xml:space="preserve"> </w:t>
      </w:r>
      <w:r w:rsidR="008A0E6F">
        <w:rPr>
          <w:rFonts w:ascii="Calibri" w:eastAsia="Times New Roman" w:hAnsi="Calibri" w:cs="Calibri"/>
          <w:bCs/>
        </w:rPr>
        <w:t>Settlements can be formal or informal and can exist in rural or urban environments.</w:t>
      </w:r>
    </w:p>
    <w:p w14:paraId="4ADE2197" w14:textId="77777777" w:rsidR="008A0E6F" w:rsidRDefault="008A0E6F" w:rsidP="007B295F">
      <w:pPr>
        <w:spacing w:after="0" w:line="240" w:lineRule="auto"/>
        <w:rPr>
          <w:rFonts w:ascii="Calibri" w:eastAsia="Times New Roman" w:hAnsi="Calibri" w:cs="Calibri"/>
          <w:bCs/>
        </w:rPr>
      </w:pPr>
    </w:p>
    <w:p w14:paraId="2A38511F" w14:textId="77777777" w:rsidR="00F81DBE" w:rsidRPr="00635BFF" w:rsidRDefault="008A0E6F" w:rsidP="007B295F">
      <w:pPr>
        <w:spacing w:after="0" w:line="240" w:lineRule="auto"/>
        <w:rPr>
          <w:rFonts w:ascii="Calibri" w:eastAsia="Times New Roman" w:hAnsi="Calibri" w:cs="Calibri"/>
          <w:b/>
          <w:bCs/>
          <w:color w:val="0070C0"/>
          <w:sz w:val="24"/>
          <w:u w:val="single"/>
        </w:rPr>
      </w:pPr>
      <w:r w:rsidRPr="00635BFF">
        <w:rPr>
          <w:rFonts w:ascii="Calibri" w:eastAsia="Times New Roman" w:hAnsi="Calibri" w:cs="Calibri"/>
          <w:b/>
          <w:bCs/>
          <w:color w:val="0070C0"/>
          <w:sz w:val="24"/>
          <w:u w:val="single"/>
        </w:rPr>
        <w:t>Characteristics</w:t>
      </w:r>
      <w:r w:rsidR="00F81DBE" w:rsidRPr="00635BFF">
        <w:rPr>
          <w:rFonts w:ascii="Calibri" w:eastAsia="Times New Roman" w:hAnsi="Calibri" w:cs="Calibri"/>
          <w:b/>
          <w:bCs/>
          <w:color w:val="0070C0"/>
          <w:sz w:val="24"/>
          <w:u w:val="single"/>
        </w:rPr>
        <w:t>:</w:t>
      </w:r>
    </w:p>
    <w:p w14:paraId="2E791F17" w14:textId="3794263F" w:rsidR="00F81DBE" w:rsidRDefault="006E441F" w:rsidP="007B295F">
      <w:pPr>
        <w:spacing w:after="0" w:line="240" w:lineRule="auto"/>
        <w:rPr>
          <w:rFonts w:ascii="Calibri" w:eastAsia="Times New Roman" w:hAnsi="Calibri" w:cs="Calibri"/>
        </w:rPr>
      </w:pPr>
      <w:r>
        <w:rPr>
          <w:rFonts w:ascii="Calibri" w:eastAsia="Times New Roman" w:hAnsi="Calibri" w:cs="Calibri"/>
        </w:rPr>
        <w:t>The</w:t>
      </w:r>
      <w:r w:rsidRPr="006E441F">
        <w:rPr>
          <w:rFonts w:ascii="Calibri" w:eastAsia="Times New Roman" w:hAnsi="Calibri" w:cs="Calibri"/>
        </w:rPr>
        <w:t xml:space="preserve"> implementation of </w:t>
      </w:r>
      <w:r w:rsidRPr="004603EF">
        <w:rPr>
          <w:rFonts w:ascii="Calibri" w:eastAsia="Times New Roman" w:hAnsi="Calibri" w:cs="Calibri"/>
          <w:b/>
          <w:i/>
          <w:color w:val="2E74B5" w:themeColor="accent1" w:themeShade="BF"/>
        </w:rPr>
        <w:t>settlements approaches</w:t>
      </w:r>
      <w:r w:rsidRPr="004603EF">
        <w:rPr>
          <w:rFonts w:ascii="Calibri" w:eastAsia="Times New Roman" w:hAnsi="Calibri" w:cs="Calibri"/>
          <w:color w:val="2E74B5" w:themeColor="accent1" w:themeShade="BF"/>
        </w:rPr>
        <w:t xml:space="preserve"> </w:t>
      </w:r>
      <w:r w:rsidRPr="006E441F">
        <w:rPr>
          <w:rFonts w:ascii="Calibri" w:eastAsia="Times New Roman" w:hAnsi="Calibri" w:cs="Calibri"/>
        </w:rPr>
        <w:t>in urban areas requires</w:t>
      </w:r>
      <w:r w:rsidR="00A576A4">
        <w:rPr>
          <w:rFonts w:ascii="Calibri" w:eastAsia="Times New Roman" w:hAnsi="Calibri" w:cs="Calibri"/>
        </w:rPr>
        <w:t xml:space="preserve"> </w:t>
      </w:r>
      <w:r w:rsidRPr="006E441F">
        <w:rPr>
          <w:rFonts w:ascii="Calibri" w:eastAsia="Times New Roman" w:hAnsi="Calibri" w:cs="Calibri"/>
        </w:rPr>
        <w:t xml:space="preserve">effective identification of target communities and the delineation of the territory </w:t>
      </w:r>
      <w:r>
        <w:rPr>
          <w:rFonts w:ascii="Calibri" w:eastAsia="Times New Roman" w:hAnsi="Calibri" w:cs="Calibri"/>
        </w:rPr>
        <w:t xml:space="preserve">that </w:t>
      </w:r>
      <w:r w:rsidRPr="006E441F">
        <w:rPr>
          <w:rFonts w:ascii="Calibri" w:eastAsia="Times New Roman" w:hAnsi="Calibri" w:cs="Calibri"/>
        </w:rPr>
        <w:t xml:space="preserve">they inhabit (their </w:t>
      </w:r>
      <w:r w:rsidRPr="00694431">
        <w:rPr>
          <w:rFonts w:ascii="Calibri" w:eastAsia="Times New Roman" w:hAnsi="Calibri" w:cs="Calibri"/>
          <w:b/>
          <w:i/>
          <w:color w:val="0070C0"/>
        </w:rPr>
        <w:t>settlement</w:t>
      </w:r>
      <w:r w:rsidRPr="006E441F">
        <w:rPr>
          <w:rFonts w:ascii="Calibri" w:eastAsia="Times New Roman" w:hAnsi="Calibri" w:cs="Calibri"/>
        </w:rPr>
        <w:t xml:space="preserve">). In urban settings this will typically consist of </w:t>
      </w:r>
      <w:r>
        <w:rPr>
          <w:rFonts w:ascii="Calibri" w:eastAsia="Times New Roman" w:hAnsi="Calibri" w:cs="Calibri"/>
        </w:rPr>
        <w:t xml:space="preserve">a set of </w:t>
      </w:r>
      <w:r w:rsidRPr="006E441F">
        <w:rPr>
          <w:rFonts w:ascii="Calibri" w:eastAsia="Times New Roman" w:hAnsi="Calibri" w:cs="Calibri"/>
        </w:rPr>
        <w:t>neighborhoods</w:t>
      </w:r>
      <w:r w:rsidR="00A576A4">
        <w:rPr>
          <w:rFonts w:ascii="Calibri" w:eastAsia="Times New Roman" w:hAnsi="Calibri" w:cs="Calibri"/>
        </w:rPr>
        <w:t xml:space="preserve">; </w:t>
      </w:r>
      <w:r w:rsidR="007848E1">
        <w:rPr>
          <w:rFonts w:ascii="Calibri" w:eastAsia="Times New Roman" w:hAnsi="Calibri" w:cs="Calibri"/>
        </w:rPr>
        <w:t>s</w:t>
      </w:r>
      <w:r>
        <w:rPr>
          <w:rFonts w:ascii="Calibri" w:eastAsia="Times New Roman" w:hAnsi="Calibri" w:cs="Calibri"/>
        </w:rPr>
        <w:t xml:space="preserve">uch an approach is </w:t>
      </w:r>
      <w:r w:rsidRPr="006E441F">
        <w:rPr>
          <w:rFonts w:ascii="Calibri" w:eastAsia="Times New Roman" w:hAnsi="Calibri" w:cs="Calibri"/>
        </w:rPr>
        <w:t>holistic and multi-sectorial</w:t>
      </w:r>
      <w:r w:rsidR="00A576A4">
        <w:rPr>
          <w:rFonts w:ascii="Calibri" w:eastAsia="Times New Roman" w:hAnsi="Calibri" w:cs="Calibri"/>
        </w:rPr>
        <w:t xml:space="preserve">, with </w:t>
      </w:r>
      <w:r w:rsidRPr="006E441F">
        <w:rPr>
          <w:rFonts w:ascii="Calibri" w:eastAsia="Times New Roman" w:hAnsi="Calibri" w:cs="Calibri"/>
        </w:rPr>
        <w:t xml:space="preserve">understanding of needs and response capacity on which humanitarian and development actors can leverage; </w:t>
      </w:r>
      <w:r w:rsidR="00A576A4">
        <w:rPr>
          <w:rFonts w:ascii="Calibri" w:eastAsia="Times New Roman" w:hAnsi="Calibri" w:cs="Calibri"/>
        </w:rPr>
        <w:t>and t</w:t>
      </w:r>
      <w:r w:rsidRPr="006E441F">
        <w:rPr>
          <w:rFonts w:ascii="Calibri" w:eastAsia="Times New Roman" w:hAnsi="Calibri" w:cs="Calibri"/>
        </w:rPr>
        <w:t>he identification of effective community counterparts, with which exogenous humanitarian actors can engage to support the implementation of</w:t>
      </w:r>
      <w:r w:rsidR="00A576A4">
        <w:rPr>
          <w:rFonts w:ascii="Calibri" w:eastAsia="Times New Roman" w:hAnsi="Calibri" w:cs="Calibri"/>
        </w:rPr>
        <w:t xml:space="preserve"> response </w:t>
      </w:r>
      <w:r w:rsidRPr="006E441F">
        <w:rPr>
          <w:rFonts w:ascii="Calibri" w:eastAsia="Times New Roman" w:hAnsi="Calibri" w:cs="Calibri"/>
        </w:rPr>
        <w:t>(</w:t>
      </w:r>
      <w:r w:rsidRPr="004603EF">
        <w:rPr>
          <w:rFonts w:ascii="Calibri" w:eastAsia="Times New Roman" w:hAnsi="Calibri" w:cs="Calibri"/>
          <w:b/>
        </w:rPr>
        <w:t>Document 3</w:t>
      </w:r>
      <w:r w:rsidRPr="006E441F">
        <w:rPr>
          <w:rFonts w:ascii="Calibri" w:eastAsia="Times New Roman" w:hAnsi="Calibri" w:cs="Calibri"/>
        </w:rPr>
        <w:t>)</w:t>
      </w:r>
      <w:r w:rsidR="00A576A4">
        <w:rPr>
          <w:rFonts w:ascii="Calibri" w:eastAsia="Times New Roman" w:hAnsi="Calibri" w:cs="Calibri"/>
        </w:rPr>
        <w:t>.</w:t>
      </w:r>
    </w:p>
    <w:p w14:paraId="77AA7C76" w14:textId="77777777" w:rsidR="00A576A4" w:rsidRDefault="00A576A4" w:rsidP="007B295F">
      <w:pPr>
        <w:spacing w:after="0" w:line="240" w:lineRule="auto"/>
        <w:rPr>
          <w:rFonts w:ascii="Calibri" w:eastAsia="Times New Roman" w:hAnsi="Calibri" w:cs="Calibri"/>
        </w:rPr>
      </w:pPr>
    </w:p>
    <w:p w14:paraId="4A4E6EA0" w14:textId="77777777" w:rsidR="00E231C0" w:rsidRDefault="00E231C0" w:rsidP="007B295F">
      <w:pPr>
        <w:spacing w:after="0" w:line="240" w:lineRule="auto"/>
        <w:rPr>
          <w:rFonts w:ascii="Calibri" w:eastAsia="Times New Roman" w:hAnsi="Calibri" w:cs="Calibri"/>
        </w:rPr>
      </w:pPr>
      <w:r w:rsidRPr="006B0F8E">
        <w:rPr>
          <w:rFonts w:ascii="Calibri" w:eastAsia="Times New Roman" w:hAnsi="Calibri" w:cs="Calibri"/>
        </w:rPr>
        <w:t xml:space="preserve">In many contexts, </w:t>
      </w:r>
      <w:r w:rsidRPr="00763861">
        <w:rPr>
          <w:rFonts w:ascii="Calibri" w:eastAsia="Times New Roman" w:hAnsi="Calibri" w:cs="Calibri"/>
          <w:b/>
          <w:i/>
          <w:color w:val="0070C0"/>
        </w:rPr>
        <w:t>settlements</w:t>
      </w:r>
      <w:r w:rsidRPr="00763861">
        <w:rPr>
          <w:rFonts w:ascii="Calibri" w:eastAsia="Times New Roman" w:hAnsi="Calibri" w:cs="Calibri"/>
          <w:color w:val="0070C0"/>
        </w:rPr>
        <w:t xml:space="preserve"> </w:t>
      </w:r>
      <w:r w:rsidRPr="006B0F8E">
        <w:rPr>
          <w:rFonts w:ascii="Calibri" w:eastAsia="Times New Roman" w:hAnsi="Calibri" w:cs="Calibri"/>
        </w:rPr>
        <w:t>do not correspond to existing administrative and service-catchment boundaries and are rather reflective of informal community-based relationship and decision-making networks</w:t>
      </w:r>
      <w:r>
        <w:rPr>
          <w:rFonts w:ascii="Calibri" w:eastAsia="Times New Roman" w:hAnsi="Calibri" w:cs="Calibri"/>
        </w:rPr>
        <w:t xml:space="preserve"> </w:t>
      </w:r>
      <w:r w:rsidRPr="006B0F8E">
        <w:rPr>
          <w:rFonts w:ascii="Calibri" w:eastAsia="Times New Roman" w:hAnsi="Calibri" w:cs="Calibri"/>
        </w:rPr>
        <w:t>(</w:t>
      </w:r>
      <w:r w:rsidRPr="006B0F8E">
        <w:rPr>
          <w:rFonts w:ascii="Calibri" w:eastAsia="Times New Roman" w:hAnsi="Calibri" w:cs="Calibri"/>
          <w:b/>
        </w:rPr>
        <w:t>Document 3</w:t>
      </w:r>
      <w:r w:rsidRPr="006B0F8E">
        <w:rPr>
          <w:rFonts w:ascii="Calibri" w:eastAsia="Times New Roman" w:hAnsi="Calibri" w:cs="Calibri"/>
        </w:rPr>
        <w:t>)</w:t>
      </w:r>
      <w:r>
        <w:rPr>
          <w:rFonts w:ascii="Calibri" w:eastAsia="Times New Roman" w:hAnsi="Calibri" w:cs="Calibri"/>
        </w:rPr>
        <w:t xml:space="preserve">. Therefore, informal or formal community cohesion is key aspect of a settlement. </w:t>
      </w:r>
    </w:p>
    <w:p w14:paraId="672324FA" w14:textId="77777777" w:rsidR="00E231C0" w:rsidRDefault="00E231C0" w:rsidP="007B295F">
      <w:pPr>
        <w:spacing w:after="0" w:line="240" w:lineRule="auto"/>
        <w:rPr>
          <w:rFonts w:ascii="Calibri" w:eastAsia="Times New Roman" w:hAnsi="Calibri" w:cs="Calibri"/>
        </w:rPr>
      </w:pPr>
    </w:p>
    <w:p w14:paraId="0825EFD4" w14:textId="106AA804" w:rsidR="009A4E1F" w:rsidRDefault="009A4E1F" w:rsidP="00694431">
      <w:pPr>
        <w:spacing w:after="0" w:line="240" w:lineRule="auto"/>
      </w:pPr>
      <w:r w:rsidRPr="005708BD">
        <w:t xml:space="preserve">The </w:t>
      </w:r>
      <w:r w:rsidRPr="005708BD">
        <w:rPr>
          <w:i/>
        </w:rPr>
        <w:t>settlement approach</w:t>
      </w:r>
      <w:r w:rsidRPr="005708BD">
        <w:t xml:space="preserve"> offers a framework of support to communities providing housing and essential infrastructure integrating not only sectors such as water sanitation and education but also livelihoods responses in order to quickly re-establish better economic conditions for </w:t>
      </w:r>
      <w:r w:rsidR="005708BD">
        <w:t>communities</w:t>
      </w:r>
      <w:r w:rsidRPr="005708BD">
        <w:t xml:space="preserve"> (Document 2, p. 54)</w:t>
      </w:r>
      <w:r w:rsidR="005708BD">
        <w:t>.</w:t>
      </w:r>
    </w:p>
    <w:p w14:paraId="326E4293" w14:textId="77777777" w:rsidR="009A4E1F" w:rsidRPr="004603EF" w:rsidRDefault="009A4E1F" w:rsidP="00694431">
      <w:pPr>
        <w:spacing w:after="0" w:line="240" w:lineRule="auto"/>
      </w:pPr>
    </w:p>
    <w:p w14:paraId="62709FD0" w14:textId="41824BF3" w:rsidR="009A4E1F" w:rsidRPr="008E2365" w:rsidRDefault="009A4E1F" w:rsidP="00694431">
      <w:pPr>
        <w:spacing w:after="0" w:line="240" w:lineRule="auto"/>
        <w:rPr>
          <w:bCs/>
        </w:rPr>
      </w:pPr>
      <w:r w:rsidRPr="00694431">
        <w:rPr>
          <w:rFonts w:ascii="Calibri" w:eastAsia="Times New Roman" w:hAnsi="Calibri" w:cs="Calibri"/>
          <w:b/>
          <w:i/>
          <w:color w:val="0070C0"/>
        </w:rPr>
        <w:t>Settlement approaches</w:t>
      </w:r>
      <w:r w:rsidRPr="00694431">
        <w:rPr>
          <w:rFonts w:ascii="Calibri" w:eastAsia="Times New Roman" w:hAnsi="Calibri" w:cs="Calibri"/>
          <w:color w:val="0070C0"/>
        </w:rPr>
        <w:t xml:space="preserve"> </w:t>
      </w:r>
      <w:r w:rsidRPr="00694431">
        <w:rPr>
          <w:rFonts w:ascii="Calibri" w:eastAsia="Times New Roman" w:hAnsi="Calibri" w:cs="Calibri"/>
        </w:rPr>
        <w:t>promote multi-sector and multi-stakeholder action in a given territory and are ‘informed by community-decision making mechanisms reflective of the social, economic and physical features of the</w:t>
      </w:r>
      <w:r w:rsidR="005708BD" w:rsidRPr="00694431">
        <w:rPr>
          <w:rFonts w:ascii="Calibri" w:eastAsia="Times New Roman" w:hAnsi="Calibri" w:cs="Calibri"/>
        </w:rPr>
        <w:t xml:space="preserve"> defined area’ (</w:t>
      </w:r>
      <w:r w:rsidRPr="00694431">
        <w:rPr>
          <w:rFonts w:ascii="Calibri" w:eastAsia="Times New Roman" w:hAnsi="Calibri" w:cs="Calibri"/>
          <w:b/>
        </w:rPr>
        <w:t xml:space="preserve">Document </w:t>
      </w:r>
      <w:r w:rsidR="0073694D" w:rsidRPr="00694431">
        <w:rPr>
          <w:rFonts w:ascii="Calibri" w:eastAsia="Times New Roman" w:hAnsi="Calibri" w:cs="Calibri"/>
          <w:b/>
        </w:rPr>
        <w:t>4</w:t>
      </w:r>
      <w:r w:rsidRPr="00694431">
        <w:rPr>
          <w:rFonts w:ascii="Calibri" w:eastAsia="Times New Roman" w:hAnsi="Calibri" w:cs="Calibri"/>
        </w:rPr>
        <w:t>)</w:t>
      </w:r>
      <w:r w:rsidR="005708BD" w:rsidRPr="00694431">
        <w:rPr>
          <w:rFonts w:ascii="Calibri" w:eastAsia="Times New Roman" w:hAnsi="Calibri" w:cs="Calibri"/>
        </w:rPr>
        <w:t>.</w:t>
      </w:r>
    </w:p>
    <w:p w14:paraId="793430AB" w14:textId="77777777" w:rsidR="005708BD" w:rsidRDefault="005708BD" w:rsidP="007B295F">
      <w:pPr>
        <w:spacing w:after="0" w:line="240" w:lineRule="auto"/>
        <w:rPr>
          <w:rFonts w:ascii="Calibri" w:eastAsia="Times New Roman" w:hAnsi="Calibri" w:cs="Calibri"/>
          <w:bCs/>
        </w:rPr>
      </w:pPr>
    </w:p>
    <w:p w14:paraId="62B9BCB9" w14:textId="3EA891E1" w:rsidR="006B0F8E" w:rsidRDefault="009A4E1F" w:rsidP="007B295F">
      <w:pPr>
        <w:pStyle w:val="ListParagraph"/>
        <w:numPr>
          <w:ilvl w:val="0"/>
          <w:numId w:val="5"/>
        </w:numPr>
        <w:spacing w:after="0" w:line="240" w:lineRule="auto"/>
        <w:rPr>
          <w:rFonts w:ascii="Calibri" w:eastAsia="Times New Roman" w:hAnsi="Calibri" w:cs="Calibri"/>
          <w:b/>
          <w:bCs/>
          <w:color w:val="0070C0"/>
          <w:sz w:val="28"/>
          <w:u w:val="single"/>
        </w:rPr>
      </w:pPr>
      <w:r w:rsidRPr="008C0F98">
        <w:rPr>
          <w:rFonts w:ascii="Calibri" w:eastAsia="Times New Roman" w:hAnsi="Calibri" w:cs="Calibri"/>
          <w:b/>
          <w:bCs/>
          <w:color w:val="0070C0"/>
          <w:sz w:val="28"/>
          <w:u w:val="single"/>
        </w:rPr>
        <w:t>NEIGHBORHOOD</w:t>
      </w:r>
    </w:p>
    <w:p w14:paraId="30CAE33E" w14:textId="77777777" w:rsidR="00A03ACE" w:rsidRDefault="00A03ACE" w:rsidP="00694431">
      <w:pPr>
        <w:spacing w:after="0" w:line="240" w:lineRule="auto"/>
        <w:rPr>
          <w:rFonts w:ascii="Calibri" w:eastAsia="Times New Roman" w:hAnsi="Calibri" w:cs="Calibri"/>
          <w:b/>
          <w:bCs/>
          <w:color w:val="0070C0"/>
          <w:sz w:val="24"/>
          <w:u w:val="single"/>
        </w:rPr>
      </w:pPr>
    </w:p>
    <w:p w14:paraId="501123BC" w14:textId="77777777" w:rsidR="00A03ACE" w:rsidRPr="00694431" w:rsidRDefault="00A03ACE" w:rsidP="00694431">
      <w:pPr>
        <w:spacing w:after="0" w:line="240" w:lineRule="auto"/>
        <w:rPr>
          <w:rFonts w:ascii="Calibri" w:eastAsia="Times New Roman" w:hAnsi="Calibri" w:cs="Calibri"/>
          <w:b/>
          <w:bCs/>
          <w:color w:val="0070C0"/>
          <w:sz w:val="24"/>
          <w:u w:val="single"/>
        </w:rPr>
      </w:pPr>
      <w:r w:rsidRPr="00694431">
        <w:rPr>
          <w:rFonts w:ascii="Calibri" w:eastAsia="Times New Roman" w:hAnsi="Calibri" w:cs="Calibri"/>
          <w:b/>
          <w:bCs/>
          <w:color w:val="0070C0"/>
          <w:sz w:val="24"/>
          <w:u w:val="single"/>
        </w:rPr>
        <w:t>Definitions:</w:t>
      </w:r>
    </w:p>
    <w:p w14:paraId="3C94BEC9" w14:textId="77777777" w:rsidR="00A03ACE" w:rsidRPr="00694431" w:rsidRDefault="00A03ACE" w:rsidP="00694431">
      <w:pPr>
        <w:spacing w:after="0" w:line="240" w:lineRule="auto"/>
        <w:rPr>
          <w:rFonts w:ascii="Calibri" w:eastAsia="Times New Roman" w:hAnsi="Calibri" w:cs="Calibri"/>
          <w:bCs/>
        </w:rPr>
      </w:pPr>
      <w:r w:rsidRPr="00694431">
        <w:rPr>
          <w:rFonts w:ascii="Calibri" w:eastAsia="Times New Roman" w:hAnsi="Calibri" w:cs="Calibri"/>
          <w:bCs/>
        </w:rPr>
        <w:t xml:space="preserve">A </w:t>
      </w:r>
      <w:r w:rsidRPr="00694431">
        <w:rPr>
          <w:rFonts w:ascii="Calibri" w:eastAsia="Times New Roman" w:hAnsi="Calibri" w:cs="Calibri"/>
          <w:b/>
          <w:bCs/>
          <w:i/>
          <w:color w:val="0070C0"/>
        </w:rPr>
        <w:t>neighborhood</w:t>
      </w:r>
      <w:r w:rsidRPr="00694431">
        <w:rPr>
          <w:rFonts w:ascii="Calibri" w:eastAsia="Times New Roman" w:hAnsi="Calibri" w:cs="Calibri"/>
          <w:b/>
          <w:bCs/>
        </w:rPr>
        <w:t xml:space="preserve"> </w:t>
      </w:r>
      <w:r w:rsidRPr="00694431">
        <w:rPr>
          <w:rFonts w:ascii="Calibri" w:eastAsia="Times New Roman" w:hAnsi="Calibri" w:cs="Calibri"/>
          <w:bCs/>
        </w:rPr>
        <w:t xml:space="preserve">is a specific geographical area of a limited size that is defined not only by the area it encompasses but by social, economic, and physical features. A </w:t>
      </w:r>
      <w:r w:rsidRPr="00694431">
        <w:rPr>
          <w:rFonts w:ascii="Calibri" w:eastAsia="Times New Roman" w:hAnsi="Calibri" w:cs="Calibri"/>
          <w:b/>
          <w:bCs/>
          <w:i/>
          <w:color w:val="0070C0"/>
        </w:rPr>
        <w:t>neighborhood</w:t>
      </w:r>
      <w:r w:rsidRPr="00694431">
        <w:rPr>
          <w:rFonts w:ascii="Calibri" w:eastAsia="Times New Roman" w:hAnsi="Calibri" w:cs="Calibri"/>
          <w:bCs/>
          <w:color w:val="0070C0"/>
        </w:rPr>
        <w:t xml:space="preserve"> </w:t>
      </w:r>
      <w:r w:rsidRPr="00694431">
        <w:rPr>
          <w:rFonts w:ascii="Calibri" w:eastAsia="Times New Roman" w:hAnsi="Calibri" w:cs="Calibri"/>
          <w:bCs/>
        </w:rPr>
        <w:t xml:space="preserve">is much less defined by governance structures than by community links, but can often serve as the basis for administrative and political recognition within larger jurisdictions. In some humanitarian examples, a </w:t>
      </w:r>
      <w:r w:rsidRPr="00694431">
        <w:rPr>
          <w:rFonts w:ascii="Calibri" w:eastAsia="Times New Roman" w:hAnsi="Calibri" w:cs="Calibri"/>
          <w:b/>
          <w:bCs/>
          <w:i/>
          <w:color w:val="0070C0"/>
        </w:rPr>
        <w:t>neighborhood</w:t>
      </w:r>
      <w:r w:rsidRPr="00694431">
        <w:rPr>
          <w:rFonts w:ascii="Calibri" w:eastAsia="Times New Roman" w:hAnsi="Calibri" w:cs="Calibri"/>
          <w:bCs/>
          <w:color w:val="0070C0"/>
        </w:rPr>
        <w:t xml:space="preserve"> </w:t>
      </w:r>
      <w:r w:rsidRPr="00694431">
        <w:rPr>
          <w:rFonts w:ascii="Calibri" w:eastAsia="Times New Roman" w:hAnsi="Calibri" w:cs="Calibri"/>
          <w:bCs/>
        </w:rPr>
        <w:t>can be defined by geographical or infrastructure features (for example, the “Katye Neighborhood Improvement Program in Ravine Pintade was bounded by three main roads and sloped very steeply towards the ravine” (</w:t>
      </w:r>
      <w:r w:rsidRPr="00694431">
        <w:rPr>
          <w:rFonts w:ascii="Calibri" w:eastAsia="Times New Roman" w:hAnsi="Calibri" w:cs="Calibri"/>
          <w:b/>
          <w:bCs/>
        </w:rPr>
        <w:t>Document 1</w:t>
      </w:r>
      <w:r w:rsidRPr="00694431">
        <w:rPr>
          <w:rFonts w:ascii="Calibri" w:eastAsia="Times New Roman" w:hAnsi="Calibri" w:cs="Calibri"/>
          <w:bCs/>
        </w:rPr>
        <w:t>, p.10).</w:t>
      </w:r>
    </w:p>
    <w:p w14:paraId="3167F68B" w14:textId="77777777" w:rsidR="00A03ACE" w:rsidRPr="00694431" w:rsidRDefault="00A03ACE" w:rsidP="00694431">
      <w:pPr>
        <w:spacing w:after="0" w:line="240" w:lineRule="auto"/>
        <w:rPr>
          <w:rFonts w:ascii="Calibri" w:eastAsia="Times New Roman" w:hAnsi="Calibri" w:cs="Calibri"/>
          <w:bCs/>
        </w:rPr>
      </w:pPr>
    </w:p>
    <w:p w14:paraId="7C69FDF2" w14:textId="77777777" w:rsidR="00A03ACE" w:rsidRPr="00694431" w:rsidRDefault="00A03ACE" w:rsidP="00694431">
      <w:pPr>
        <w:spacing w:after="0" w:line="240" w:lineRule="auto"/>
        <w:rPr>
          <w:rFonts w:ascii="Calibri" w:eastAsia="Times New Roman" w:hAnsi="Calibri" w:cs="Calibri"/>
          <w:bCs/>
        </w:rPr>
      </w:pPr>
      <w:r w:rsidRPr="00694431">
        <w:rPr>
          <w:rFonts w:ascii="Calibri" w:eastAsia="Times New Roman" w:hAnsi="Calibri" w:cs="Calibri"/>
          <w:b/>
          <w:i/>
          <w:color w:val="0070C0"/>
        </w:rPr>
        <w:t>Neighborhoods</w:t>
      </w:r>
      <w:r w:rsidRPr="00694431">
        <w:rPr>
          <w:rFonts w:ascii="Calibri" w:eastAsia="Times New Roman" w:hAnsi="Calibri" w:cs="Calibri"/>
          <w:color w:val="0070C0"/>
        </w:rPr>
        <w:t xml:space="preserve"> </w:t>
      </w:r>
      <w:r w:rsidRPr="00694431">
        <w:rPr>
          <w:rFonts w:ascii="Calibri" w:eastAsia="Times New Roman" w:hAnsi="Calibri" w:cs="Calibri"/>
        </w:rPr>
        <w:t>provide their residents with an identity and foothold in the larger urban arena, thereby providing some measure of security, safety, and familiarity in an often-chaotic urban world. Neighborhoods become even more valuable to their residents in the wake of humanitarian crises and natural disasters precisely because of these valued social and economic features (</w:t>
      </w:r>
      <w:r w:rsidRPr="00694431">
        <w:rPr>
          <w:rFonts w:ascii="Calibri" w:eastAsia="Times New Roman" w:hAnsi="Calibri" w:cs="Calibri"/>
          <w:b/>
        </w:rPr>
        <w:t>Document 4</w:t>
      </w:r>
      <w:r w:rsidRPr="00694431">
        <w:rPr>
          <w:rFonts w:ascii="Calibri" w:eastAsia="Times New Roman" w:hAnsi="Calibri" w:cs="Calibri"/>
        </w:rPr>
        <w:t>).</w:t>
      </w:r>
    </w:p>
    <w:p w14:paraId="094029C0" w14:textId="77777777" w:rsidR="00A03ACE" w:rsidRPr="00694431" w:rsidRDefault="00A03ACE" w:rsidP="00694431">
      <w:pPr>
        <w:spacing w:after="0" w:line="240" w:lineRule="auto"/>
        <w:rPr>
          <w:rFonts w:ascii="Calibri" w:eastAsia="Times New Roman" w:hAnsi="Calibri" w:cs="Calibri"/>
          <w:bCs/>
        </w:rPr>
      </w:pPr>
    </w:p>
    <w:p w14:paraId="7D8E4F89" w14:textId="77777777" w:rsidR="00A03ACE" w:rsidRPr="00694431" w:rsidRDefault="00A03ACE" w:rsidP="00694431">
      <w:pPr>
        <w:spacing w:after="0" w:line="240" w:lineRule="auto"/>
        <w:rPr>
          <w:rFonts w:ascii="Calibri" w:eastAsia="Times New Roman" w:hAnsi="Calibri" w:cs="Calibri"/>
          <w:bCs/>
        </w:rPr>
      </w:pPr>
      <w:r w:rsidRPr="00694431">
        <w:rPr>
          <w:rFonts w:ascii="Calibri" w:eastAsia="Times New Roman" w:hAnsi="Calibri" w:cs="Calibri"/>
          <w:b/>
          <w:bCs/>
          <w:i/>
          <w:color w:val="0070C0"/>
        </w:rPr>
        <w:t>Neighborhood approaches</w:t>
      </w:r>
      <w:r w:rsidRPr="00694431">
        <w:rPr>
          <w:rFonts w:ascii="Calibri" w:eastAsia="Times New Roman" w:hAnsi="Calibri" w:cs="Calibri"/>
          <w:bCs/>
        </w:rPr>
        <w:t xml:space="preserve">, </w:t>
      </w:r>
      <w:r>
        <w:t>can be</w:t>
      </w:r>
      <w:r w:rsidRPr="005708BD">
        <w:t xml:space="preserve"> used to describe an area-based approach at a certain scale (e.g. the neighborhood is the ‘unit’ of intervention) (</w:t>
      </w:r>
      <w:r w:rsidRPr="00694431">
        <w:rPr>
          <w:b/>
        </w:rPr>
        <w:t>Document 1</w:t>
      </w:r>
      <w:r w:rsidRPr="005708BD">
        <w:t>, p. 11)</w:t>
      </w:r>
      <w:r>
        <w:t xml:space="preserve">. </w:t>
      </w:r>
      <w:r w:rsidRPr="00694431">
        <w:rPr>
          <w:rFonts w:ascii="Calibri" w:eastAsia="Times New Roman" w:hAnsi="Calibri" w:cs="Calibri"/>
          <w:bCs/>
        </w:rPr>
        <w:t xml:space="preserve">Though the term is sometimes used interchangeably with settlements approaches, they are also sometimes considered a smaller unit of invention than settlements. </w:t>
      </w:r>
    </w:p>
    <w:p w14:paraId="578E4217" w14:textId="77777777" w:rsidR="00A03ACE" w:rsidRPr="00694431" w:rsidRDefault="00A03ACE" w:rsidP="00694431">
      <w:pPr>
        <w:spacing w:after="0" w:line="240" w:lineRule="auto"/>
        <w:rPr>
          <w:rFonts w:ascii="Calibri" w:eastAsia="Times New Roman" w:hAnsi="Calibri" w:cs="Calibri"/>
          <w:color w:val="FFFFFF" w:themeColor="background1"/>
          <w:shd w:val="clear" w:color="auto" w:fill="FFE599" w:themeFill="accent4" w:themeFillTint="66"/>
        </w:rPr>
      </w:pPr>
    </w:p>
    <w:p w14:paraId="078A47FF" w14:textId="77777777" w:rsidR="00A03ACE" w:rsidRPr="00694431" w:rsidRDefault="00A03ACE" w:rsidP="00694431">
      <w:pPr>
        <w:spacing w:after="0" w:line="240" w:lineRule="auto"/>
        <w:rPr>
          <w:rFonts w:ascii="Calibri" w:eastAsia="Times New Roman" w:hAnsi="Calibri" w:cs="Calibri"/>
        </w:rPr>
      </w:pPr>
      <w:r w:rsidRPr="00694431">
        <w:rPr>
          <w:rFonts w:ascii="Calibri" w:eastAsia="Times New Roman" w:hAnsi="Calibri" w:cs="Calibri"/>
          <w:b/>
          <w:bCs/>
          <w:color w:val="0070C0"/>
          <w:sz w:val="24"/>
          <w:u w:val="single"/>
        </w:rPr>
        <w:t>Characteristics:</w:t>
      </w:r>
    </w:p>
    <w:p w14:paraId="5EF8BABB" w14:textId="77777777" w:rsidR="00A03ACE" w:rsidRPr="002E6737" w:rsidRDefault="00A03ACE" w:rsidP="00694431">
      <w:pPr>
        <w:spacing w:after="0"/>
      </w:pPr>
      <w:r w:rsidRPr="00A37A69">
        <w:t>Since 2011 the US Agency for International Development – Office of US Foreign Disaster</w:t>
      </w:r>
      <w:r>
        <w:t xml:space="preserve"> </w:t>
      </w:r>
      <w:r w:rsidRPr="00694431">
        <w:rPr>
          <w:rFonts w:ascii="Calibri" w:eastAsia="Times New Roman" w:hAnsi="Calibri" w:cs="Calibri"/>
        </w:rPr>
        <w:t>Assistance (USAID/OFDA), has advocated for a ‘</w:t>
      </w:r>
      <w:r w:rsidRPr="00694431">
        <w:rPr>
          <w:rFonts w:ascii="Calibri" w:eastAsia="Times New Roman" w:hAnsi="Calibri" w:cs="Calibri"/>
          <w:b/>
          <w:i/>
          <w:color w:val="0070C0"/>
        </w:rPr>
        <w:t>neighborhood approach</w:t>
      </w:r>
      <w:r w:rsidRPr="00694431">
        <w:rPr>
          <w:rFonts w:ascii="Calibri" w:eastAsia="Times New Roman" w:hAnsi="Calibri" w:cs="Calibri"/>
        </w:rPr>
        <w:t>’ – which it describes as ‘an area-based means of responding to multi-sector needs that is informed by a community based decision-making process reflective of the social, economic, and physical features of the defined area’ (</w:t>
      </w:r>
      <w:r w:rsidRPr="00694431">
        <w:rPr>
          <w:rFonts w:ascii="Calibri" w:eastAsia="Times New Roman" w:hAnsi="Calibri" w:cs="Calibri"/>
          <w:b/>
        </w:rPr>
        <w:t>Document 4</w:t>
      </w:r>
      <w:r w:rsidRPr="00694431">
        <w:rPr>
          <w:rFonts w:ascii="Calibri" w:eastAsia="Times New Roman" w:hAnsi="Calibri" w:cs="Calibri"/>
        </w:rPr>
        <w:t>). USAID/ OFDA have identified the ‘</w:t>
      </w:r>
      <w:r w:rsidRPr="00694431">
        <w:rPr>
          <w:rFonts w:ascii="Calibri" w:eastAsia="Times New Roman" w:hAnsi="Calibri" w:cs="Calibri"/>
          <w:b/>
          <w:i/>
          <w:color w:val="0070C0"/>
        </w:rPr>
        <w:t>neighborhood approach</w:t>
      </w:r>
      <w:r w:rsidRPr="00694431">
        <w:rPr>
          <w:rFonts w:ascii="Calibri" w:eastAsia="Times New Roman" w:hAnsi="Calibri" w:cs="Calibri"/>
          <w:color w:val="0070C0"/>
        </w:rPr>
        <w:t xml:space="preserve">’ </w:t>
      </w:r>
      <w:r w:rsidRPr="00694431">
        <w:rPr>
          <w:rFonts w:ascii="Calibri" w:eastAsia="Times New Roman" w:hAnsi="Calibri" w:cs="Calibri"/>
        </w:rPr>
        <w:t xml:space="preserve">as an ‘effective operational means of guiding the recovery of disaster-affected communities’ that ‘enhance[s] clarity and understanding of how best to coherently provide multi-sectoral assistance amidst the multi-faceted conditions of urban areas’ (USAID/OFDA 2012 as cited in </w:t>
      </w:r>
      <w:r w:rsidRPr="00694431">
        <w:rPr>
          <w:rFonts w:ascii="Calibri" w:eastAsia="Times New Roman" w:hAnsi="Calibri" w:cs="Calibri"/>
          <w:b/>
          <w:bCs/>
        </w:rPr>
        <w:t>Document 1</w:t>
      </w:r>
      <w:r w:rsidRPr="00694431">
        <w:rPr>
          <w:rFonts w:ascii="Calibri" w:eastAsia="Times New Roman" w:hAnsi="Calibri" w:cs="Calibri"/>
        </w:rPr>
        <w:t>, p.6).</w:t>
      </w:r>
    </w:p>
    <w:p w14:paraId="07208183" w14:textId="77777777" w:rsidR="00A03ACE" w:rsidRPr="00694431" w:rsidRDefault="00A03ACE" w:rsidP="00694431">
      <w:pPr>
        <w:spacing w:after="0" w:line="240" w:lineRule="auto"/>
        <w:rPr>
          <w:rFonts w:ascii="Calibri" w:eastAsia="Times New Roman" w:hAnsi="Calibri" w:cs="Calibri"/>
        </w:rPr>
      </w:pPr>
    </w:p>
    <w:p w14:paraId="05152F72" w14:textId="77777777" w:rsidR="00A03ACE" w:rsidRPr="00694431" w:rsidRDefault="00A03ACE" w:rsidP="00694431">
      <w:pPr>
        <w:spacing w:after="0" w:line="240" w:lineRule="auto"/>
        <w:rPr>
          <w:rFonts w:ascii="Calibri" w:eastAsia="Times New Roman" w:hAnsi="Calibri" w:cs="Calibri"/>
        </w:rPr>
      </w:pPr>
      <w:r w:rsidRPr="00694431">
        <w:rPr>
          <w:rFonts w:ascii="Calibri" w:eastAsia="Times New Roman" w:hAnsi="Calibri" w:cs="Calibri"/>
        </w:rPr>
        <w:t xml:space="preserve">The </w:t>
      </w:r>
      <w:r w:rsidRPr="00694431">
        <w:rPr>
          <w:rFonts w:ascii="Calibri" w:eastAsia="Times New Roman" w:hAnsi="Calibri" w:cs="Calibri"/>
          <w:b/>
          <w:i/>
          <w:color w:val="2E74B5" w:themeColor="accent1" w:themeShade="BF"/>
        </w:rPr>
        <w:t>neighborhoods approach</w:t>
      </w:r>
      <w:r w:rsidRPr="00694431">
        <w:rPr>
          <w:rFonts w:ascii="Calibri" w:eastAsia="Times New Roman" w:hAnsi="Calibri" w:cs="Calibri"/>
          <w:color w:val="2E74B5" w:themeColor="accent1" w:themeShade="BF"/>
        </w:rPr>
        <w:t xml:space="preserve"> </w:t>
      </w:r>
      <w:r w:rsidRPr="00694431">
        <w:rPr>
          <w:rFonts w:ascii="Calibri" w:eastAsia="Times New Roman" w:hAnsi="Calibri" w:cs="Calibri"/>
        </w:rPr>
        <w:t xml:space="preserve">can be best achieved through adoption of a long-term view of configuring and reconfiguring land to best accommodate shelter and related services, disaster risk reduction, livelihoods, social connections, and the health and security of the disaster-affected population. While addressing short-term humanitarian needs, this approach can also pave the way for post-crisis recovery, i.e., neighborhoods can also serve as platforms for recovery. When linked together, </w:t>
      </w:r>
      <w:r w:rsidRPr="00694431">
        <w:rPr>
          <w:rFonts w:ascii="Calibri" w:eastAsia="Times New Roman" w:hAnsi="Calibri" w:cs="Calibri"/>
          <w:b/>
          <w:i/>
          <w:color w:val="2E74B5" w:themeColor="accent1" w:themeShade="BF"/>
        </w:rPr>
        <w:t>neighborhoods</w:t>
      </w:r>
      <w:r w:rsidRPr="00694431">
        <w:rPr>
          <w:rFonts w:ascii="Calibri" w:eastAsia="Times New Roman" w:hAnsi="Calibri" w:cs="Calibri"/>
          <w:color w:val="2E74B5" w:themeColor="accent1" w:themeShade="BF"/>
        </w:rPr>
        <w:t xml:space="preserve"> </w:t>
      </w:r>
      <w:r w:rsidRPr="00694431">
        <w:rPr>
          <w:rFonts w:ascii="Calibri" w:eastAsia="Times New Roman" w:hAnsi="Calibri" w:cs="Calibri"/>
        </w:rPr>
        <w:t>can become the unit of analysis in city-wide response and recovery efforts (</w:t>
      </w:r>
      <w:r w:rsidRPr="00694431">
        <w:rPr>
          <w:rFonts w:ascii="Calibri" w:eastAsia="Times New Roman" w:hAnsi="Calibri" w:cs="Calibri"/>
          <w:b/>
        </w:rPr>
        <w:t>Document 4</w:t>
      </w:r>
      <w:r w:rsidRPr="00694431">
        <w:rPr>
          <w:rFonts w:ascii="Calibri" w:eastAsia="Times New Roman" w:hAnsi="Calibri" w:cs="Calibri"/>
        </w:rPr>
        <w:t>).</w:t>
      </w:r>
    </w:p>
    <w:p w14:paraId="18C9EC60" w14:textId="77777777" w:rsidR="00A03ACE" w:rsidRPr="00694431" w:rsidRDefault="00A03ACE" w:rsidP="00694431">
      <w:pPr>
        <w:spacing w:after="0" w:line="240" w:lineRule="auto"/>
        <w:rPr>
          <w:rFonts w:ascii="Calibri" w:eastAsia="Times New Roman" w:hAnsi="Calibri" w:cs="Calibri"/>
        </w:rPr>
      </w:pPr>
    </w:p>
    <w:p w14:paraId="157DEF0D" w14:textId="77777777" w:rsidR="00A03ACE" w:rsidRPr="00694431" w:rsidRDefault="00A03ACE" w:rsidP="00694431">
      <w:pPr>
        <w:spacing w:after="0" w:line="240" w:lineRule="auto"/>
        <w:rPr>
          <w:rFonts w:ascii="Calibri" w:eastAsia="Times New Roman" w:hAnsi="Calibri" w:cs="Calibri"/>
        </w:rPr>
      </w:pPr>
      <w:r w:rsidRPr="00694431">
        <w:rPr>
          <w:rFonts w:ascii="Calibri" w:eastAsia="Times New Roman" w:hAnsi="Calibri" w:cs="Calibri"/>
        </w:rPr>
        <w:t>When defining a geographical area for humanitarian intervention, the question of scale is also key. However, the literature reviewed, including the case studies, typically describe programs at a ‘</w:t>
      </w:r>
      <w:r w:rsidRPr="00694431">
        <w:rPr>
          <w:rFonts w:ascii="Calibri" w:eastAsia="Times New Roman" w:hAnsi="Calibri" w:cs="Calibri"/>
          <w:b/>
          <w:i/>
          <w:color w:val="0070C0"/>
        </w:rPr>
        <w:t>neighborhood</w:t>
      </w:r>
      <w:r w:rsidRPr="00694431">
        <w:rPr>
          <w:rFonts w:ascii="Calibri" w:eastAsia="Times New Roman" w:hAnsi="Calibri" w:cs="Calibri"/>
          <w:color w:val="0070C0"/>
        </w:rPr>
        <w:t xml:space="preserve">’ </w:t>
      </w:r>
      <w:r w:rsidRPr="00694431">
        <w:rPr>
          <w:rFonts w:ascii="Calibri" w:eastAsia="Times New Roman" w:hAnsi="Calibri" w:cs="Calibri"/>
        </w:rPr>
        <w:t>level, often in informal areas with estimates of around 1,400–6000+ households impacted by the project (</w:t>
      </w:r>
      <w:r w:rsidRPr="00694431">
        <w:rPr>
          <w:rFonts w:ascii="Calibri" w:eastAsia="Times New Roman" w:hAnsi="Calibri" w:cs="Calibri"/>
          <w:b/>
          <w:bCs/>
        </w:rPr>
        <w:t>Document 1</w:t>
      </w:r>
      <w:r w:rsidRPr="00694431">
        <w:rPr>
          <w:rFonts w:ascii="Calibri" w:eastAsia="Times New Roman" w:hAnsi="Calibri" w:cs="Calibri"/>
        </w:rPr>
        <w:t>, p. 10).</w:t>
      </w:r>
    </w:p>
    <w:p w14:paraId="5B16926F" w14:textId="77777777" w:rsidR="00A03ACE" w:rsidRPr="00694431" w:rsidRDefault="00A03ACE" w:rsidP="00694431">
      <w:pPr>
        <w:spacing w:after="0" w:line="240" w:lineRule="auto"/>
        <w:rPr>
          <w:rFonts w:ascii="Calibri" w:eastAsia="Times New Roman" w:hAnsi="Calibri" w:cs="Calibri"/>
          <w:b/>
          <w:bCs/>
          <w:color w:val="0070C0"/>
          <w:u w:val="single"/>
        </w:rPr>
      </w:pPr>
    </w:p>
    <w:p w14:paraId="44918CE3" w14:textId="0A4E05CD" w:rsidR="00694431" w:rsidRPr="00694431" w:rsidRDefault="00A03ACE" w:rsidP="00694431">
      <w:pPr>
        <w:pStyle w:val="ListParagraph"/>
        <w:numPr>
          <w:ilvl w:val="0"/>
          <w:numId w:val="5"/>
        </w:numPr>
        <w:spacing w:after="0" w:line="240" w:lineRule="auto"/>
        <w:rPr>
          <w:rFonts w:ascii="Calibri" w:eastAsia="Times New Roman" w:hAnsi="Calibri" w:cs="Calibri"/>
          <w:b/>
          <w:color w:val="0070C0"/>
          <w:sz w:val="28"/>
          <w:u w:val="single"/>
        </w:rPr>
      </w:pPr>
      <w:r w:rsidRPr="00A03ACE">
        <w:rPr>
          <w:rFonts w:ascii="Calibri" w:eastAsia="Times New Roman" w:hAnsi="Calibri" w:cs="Calibri"/>
          <w:b/>
          <w:color w:val="0070C0"/>
          <w:sz w:val="28"/>
          <w:u w:val="single"/>
        </w:rPr>
        <w:t>Relationships among the terms:</w:t>
      </w:r>
    </w:p>
    <w:p w14:paraId="57688C13" w14:textId="77777777" w:rsidR="00A03ACE" w:rsidRPr="00A03ACE" w:rsidRDefault="00A03ACE" w:rsidP="00694431">
      <w:pPr>
        <w:pStyle w:val="ListParagraph"/>
        <w:spacing w:after="0" w:line="240" w:lineRule="auto"/>
        <w:ind w:left="360"/>
        <w:rPr>
          <w:rFonts w:ascii="Calibri" w:eastAsia="Times New Roman" w:hAnsi="Calibri" w:cs="Calibri"/>
          <w:b/>
          <w:color w:val="0070C0"/>
          <w:u w:val="single"/>
        </w:rPr>
      </w:pPr>
    </w:p>
    <w:p w14:paraId="293449DE" w14:textId="322A59DA" w:rsidR="00694431" w:rsidRPr="002E6737" w:rsidRDefault="00A03ACE" w:rsidP="00694431">
      <w:pPr>
        <w:spacing w:after="0" w:line="240" w:lineRule="auto"/>
        <w:rPr>
          <w:rFonts w:ascii="Calibri" w:eastAsia="Times New Roman" w:hAnsi="Calibri" w:cs="Calibri"/>
          <w:bCs/>
        </w:rPr>
      </w:pPr>
      <w:r w:rsidRPr="00694431">
        <w:rPr>
          <w:rFonts w:ascii="Calibri" w:eastAsia="Times New Roman" w:hAnsi="Calibri" w:cs="Calibri"/>
        </w:rPr>
        <w:t xml:space="preserve">The terms explored in this paper are all linked to humanitarian interventions based on geographic rather than sector-based criteria. </w:t>
      </w:r>
      <w:r w:rsidR="00694431" w:rsidRPr="00694431">
        <w:rPr>
          <w:rFonts w:ascii="Calibri" w:eastAsia="Times New Roman" w:hAnsi="Calibri" w:cs="Calibri"/>
          <w:b/>
          <w:i/>
          <w:color w:val="0070C0"/>
        </w:rPr>
        <w:t>Area-based</w:t>
      </w:r>
      <w:r w:rsidR="00694431">
        <w:rPr>
          <w:rFonts w:ascii="Calibri" w:eastAsia="Times New Roman" w:hAnsi="Calibri" w:cs="Calibri"/>
        </w:rPr>
        <w:t xml:space="preserve">, </w:t>
      </w:r>
      <w:r w:rsidR="00694431" w:rsidRPr="00694431">
        <w:rPr>
          <w:rFonts w:ascii="Calibri" w:eastAsia="Times New Roman" w:hAnsi="Calibri" w:cs="Calibri"/>
          <w:b/>
          <w:i/>
          <w:color w:val="0070C0"/>
        </w:rPr>
        <w:t>settlements</w:t>
      </w:r>
      <w:r w:rsidR="00694431">
        <w:rPr>
          <w:rFonts w:ascii="Calibri" w:eastAsia="Times New Roman" w:hAnsi="Calibri" w:cs="Calibri"/>
        </w:rPr>
        <w:t xml:space="preserve">, and </w:t>
      </w:r>
      <w:r w:rsidR="00694431" w:rsidRPr="00694431">
        <w:rPr>
          <w:rFonts w:ascii="Calibri" w:eastAsia="Times New Roman" w:hAnsi="Calibri" w:cs="Calibri"/>
          <w:b/>
          <w:i/>
          <w:color w:val="0070C0"/>
        </w:rPr>
        <w:t>n</w:t>
      </w:r>
      <w:r w:rsidR="00694431" w:rsidRPr="00694431">
        <w:rPr>
          <w:rFonts w:ascii="Calibri" w:eastAsia="Times New Roman" w:hAnsi="Calibri" w:cs="Calibri"/>
          <w:b/>
          <w:bCs/>
          <w:i/>
          <w:color w:val="0070C0"/>
        </w:rPr>
        <w:t>eighborhoods</w:t>
      </w:r>
      <w:r w:rsidR="00694431" w:rsidRPr="00694431">
        <w:rPr>
          <w:rFonts w:ascii="Calibri" w:eastAsia="Times New Roman" w:hAnsi="Calibri" w:cs="Calibri"/>
          <w:bCs/>
          <w:color w:val="0070C0"/>
        </w:rPr>
        <w:t xml:space="preserve"> </w:t>
      </w:r>
      <w:r w:rsidR="00694431" w:rsidRPr="002E6737">
        <w:rPr>
          <w:rFonts w:ascii="Calibri" w:eastAsia="Times New Roman" w:hAnsi="Calibri" w:cs="Calibri"/>
          <w:bCs/>
        </w:rPr>
        <w:t xml:space="preserve">can be thought of </w:t>
      </w:r>
      <w:r w:rsidR="00694431">
        <w:rPr>
          <w:rFonts w:ascii="Calibri" w:eastAsia="Times New Roman" w:hAnsi="Calibri" w:cs="Calibri"/>
          <w:bCs/>
        </w:rPr>
        <w:t>as largest</w:t>
      </w:r>
      <w:r w:rsidR="00694431" w:rsidRPr="002E6737">
        <w:rPr>
          <w:rFonts w:ascii="Calibri" w:eastAsia="Times New Roman" w:hAnsi="Calibri" w:cs="Calibri"/>
          <w:bCs/>
        </w:rPr>
        <w:t xml:space="preserve"> to the </w:t>
      </w:r>
      <w:r w:rsidR="00694431">
        <w:rPr>
          <w:rFonts w:ascii="Calibri" w:eastAsia="Times New Roman" w:hAnsi="Calibri" w:cs="Calibri"/>
          <w:bCs/>
        </w:rPr>
        <w:t>smallest</w:t>
      </w:r>
      <w:r w:rsidR="00694431" w:rsidRPr="002E6737">
        <w:rPr>
          <w:rFonts w:ascii="Calibri" w:eastAsia="Times New Roman" w:hAnsi="Calibri" w:cs="Calibri"/>
          <w:bCs/>
        </w:rPr>
        <w:t xml:space="preserve"> interventions and with </w:t>
      </w:r>
      <w:r w:rsidR="00694431">
        <w:rPr>
          <w:rFonts w:ascii="Calibri" w:eastAsia="Times New Roman" w:hAnsi="Calibri" w:cs="Calibri"/>
          <w:bCs/>
        </w:rPr>
        <w:t>decreasing</w:t>
      </w:r>
      <w:r w:rsidR="00694431" w:rsidRPr="002E6737">
        <w:rPr>
          <w:rFonts w:ascii="Calibri" w:eastAsia="Times New Roman" w:hAnsi="Calibri" w:cs="Calibri"/>
          <w:bCs/>
        </w:rPr>
        <w:t xml:space="preserve"> complexities.  </w:t>
      </w:r>
    </w:p>
    <w:p w14:paraId="0D1BEE43" w14:textId="77777777" w:rsidR="00A03ACE" w:rsidRPr="00694431" w:rsidRDefault="00A03ACE" w:rsidP="00694431">
      <w:pPr>
        <w:spacing w:after="0" w:line="240" w:lineRule="auto"/>
        <w:rPr>
          <w:rFonts w:ascii="Calibri" w:eastAsia="Times New Roman" w:hAnsi="Calibri" w:cs="Calibri"/>
        </w:rPr>
      </w:pPr>
    </w:p>
    <w:p w14:paraId="0390376B" w14:textId="36602B47" w:rsidR="00A03ACE" w:rsidRPr="00694431" w:rsidRDefault="00A03ACE" w:rsidP="00694431">
      <w:pPr>
        <w:spacing w:after="0" w:line="240" w:lineRule="auto"/>
        <w:rPr>
          <w:rFonts w:ascii="Calibri" w:eastAsia="Times New Roman" w:hAnsi="Calibri" w:cs="Calibri"/>
          <w:bCs/>
        </w:rPr>
      </w:pPr>
      <w:r w:rsidRPr="00694431">
        <w:rPr>
          <w:rFonts w:ascii="Calibri" w:eastAsia="Times New Roman" w:hAnsi="Calibri" w:cs="Calibri"/>
          <w:b/>
          <w:i/>
          <w:color w:val="0070C0"/>
        </w:rPr>
        <w:t>Area-based</w:t>
      </w:r>
      <w:r w:rsidRPr="00694431">
        <w:rPr>
          <w:rFonts w:ascii="Calibri" w:eastAsia="Times New Roman" w:hAnsi="Calibri" w:cs="Calibri"/>
          <w:color w:val="0070C0"/>
        </w:rPr>
        <w:t xml:space="preserve"> </w:t>
      </w:r>
      <w:r w:rsidRPr="00694431">
        <w:rPr>
          <w:rFonts w:ascii="Calibri" w:eastAsia="Times New Roman" w:hAnsi="Calibri" w:cs="Calibri"/>
        </w:rPr>
        <w:t xml:space="preserve">is the overarching term to describe interventions defined in geographic terms with participatory and multi-sectoral characteristics, </w:t>
      </w:r>
      <w:r w:rsidRPr="00694431">
        <w:rPr>
          <w:rFonts w:ascii="Calibri" w:eastAsia="Times New Roman" w:hAnsi="Calibri" w:cs="Calibri"/>
          <w:bCs/>
        </w:rPr>
        <w:t>and often involves broader entities including the (national or hub) Cluster coordination and information management, engagement with local authorities and institutions and outside links such as private sector and markets etc. However, many aspects of these are context specific and cross boundaries.</w:t>
      </w:r>
    </w:p>
    <w:p w14:paraId="4EAAA464" w14:textId="77777777" w:rsidR="00A03ACE" w:rsidRPr="00A03ACE" w:rsidRDefault="00A03ACE" w:rsidP="00694431">
      <w:pPr>
        <w:pStyle w:val="ListParagraph"/>
        <w:spacing w:after="0" w:line="240" w:lineRule="auto"/>
        <w:ind w:left="360"/>
        <w:rPr>
          <w:rFonts w:ascii="Calibri" w:eastAsia="Times New Roman" w:hAnsi="Calibri" w:cs="Calibri"/>
          <w:bCs/>
        </w:rPr>
      </w:pPr>
    </w:p>
    <w:p w14:paraId="34EE09D3" w14:textId="7638FB5D" w:rsidR="00A03ACE" w:rsidRPr="00694431" w:rsidRDefault="00A03ACE" w:rsidP="00694431">
      <w:pPr>
        <w:spacing w:after="0" w:line="240" w:lineRule="auto"/>
        <w:rPr>
          <w:rFonts w:ascii="Calibri" w:eastAsia="Times New Roman" w:hAnsi="Calibri" w:cs="Calibri"/>
        </w:rPr>
      </w:pPr>
      <w:r w:rsidRPr="00694431">
        <w:rPr>
          <w:rFonts w:ascii="Calibri" w:eastAsia="Times New Roman" w:hAnsi="Calibri" w:cs="Calibri"/>
          <w:b/>
          <w:i/>
          <w:color w:val="0070C0"/>
        </w:rPr>
        <w:t>Settlements approaches</w:t>
      </w:r>
      <w:r w:rsidR="002757D4">
        <w:rPr>
          <w:rFonts w:ascii="Calibri" w:eastAsia="Times New Roman" w:hAnsi="Calibri" w:cs="Calibri"/>
        </w:rPr>
        <w:t xml:space="preserve"> </w:t>
      </w:r>
      <w:r w:rsidRPr="00694431">
        <w:rPr>
          <w:rFonts w:ascii="Calibri" w:eastAsia="Times New Roman" w:hAnsi="Calibri" w:cs="Calibri"/>
        </w:rPr>
        <w:t xml:space="preserve">are </w:t>
      </w:r>
      <w:r>
        <w:rPr>
          <w:rFonts w:ascii="Calibri" w:eastAsia="Times New Roman" w:hAnsi="Calibri" w:cs="Calibri"/>
        </w:rPr>
        <w:t>area-</w:t>
      </w:r>
      <w:r w:rsidRPr="00694431">
        <w:rPr>
          <w:rFonts w:ascii="Calibri" w:eastAsia="Times New Roman" w:hAnsi="Calibri" w:cs="Calibri"/>
        </w:rPr>
        <w:t xml:space="preserve">based interventions that </w:t>
      </w:r>
      <w:r w:rsidRPr="00694431">
        <w:rPr>
          <w:rFonts w:ascii="Calibri" w:eastAsia="Times New Roman" w:hAnsi="Calibri" w:cs="Calibri"/>
          <w:bCs/>
        </w:rPr>
        <w:t xml:space="preserve">consider local level integration. In the humanitarian architecture, settlements are often associated with the Global Shelter Cluster, due to its association with terms such as shelter and settlements. However, the literature review suggests </w:t>
      </w:r>
      <w:r w:rsidRPr="00694431">
        <w:rPr>
          <w:rFonts w:ascii="Calibri" w:eastAsia="Times New Roman" w:hAnsi="Calibri" w:cs="Calibri"/>
          <w:bCs/>
        </w:rPr>
        <w:lastRenderedPageBreak/>
        <w:t>otherwise and does not distinguish or associate settlements with shelters or housing alone. It often relates to broader socio-economic contexts.</w:t>
      </w:r>
    </w:p>
    <w:p w14:paraId="037163BA" w14:textId="22691FDB" w:rsidR="00A03ACE" w:rsidRPr="00A03ACE" w:rsidRDefault="00A03ACE" w:rsidP="00694431">
      <w:pPr>
        <w:pStyle w:val="ListParagraph"/>
        <w:spacing w:after="0" w:line="240" w:lineRule="auto"/>
        <w:ind w:left="360"/>
        <w:rPr>
          <w:rFonts w:ascii="Calibri" w:eastAsia="Times New Roman" w:hAnsi="Calibri" w:cs="Calibri"/>
          <w:bCs/>
        </w:rPr>
      </w:pPr>
    </w:p>
    <w:p w14:paraId="46B0150A" w14:textId="798E74BF" w:rsidR="00A03ACE" w:rsidRPr="00694431" w:rsidRDefault="00A03ACE" w:rsidP="00694431">
      <w:pPr>
        <w:spacing w:after="0" w:line="240" w:lineRule="auto"/>
        <w:rPr>
          <w:rFonts w:ascii="Calibri" w:eastAsia="Times New Roman" w:hAnsi="Calibri" w:cs="Calibri"/>
        </w:rPr>
      </w:pPr>
      <w:r w:rsidRPr="00694431">
        <w:rPr>
          <w:rFonts w:ascii="Calibri" w:eastAsia="Times New Roman" w:hAnsi="Calibri" w:cs="Calibri"/>
          <w:b/>
          <w:i/>
          <w:color w:val="0070C0"/>
        </w:rPr>
        <w:t>Neighborhood approaches</w:t>
      </w:r>
      <w:r w:rsidRPr="00694431">
        <w:rPr>
          <w:rFonts w:ascii="Calibri" w:eastAsia="Times New Roman" w:hAnsi="Calibri" w:cs="Calibri"/>
          <w:color w:val="0070C0"/>
        </w:rPr>
        <w:t xml:space="preserve"> </w:t>
      </w:r>
      <w:r w:rsidRPr="00694431">
        <w:rPr>
          <w:rFonts w:ascii="Calibri" w:eastAsia="Times New Roman" w:hAnsi="Calibri" w:cs="Calibri"/>
        </w:rPr>
        <w:t xml:space="preserve">are also </w:t>
      </w:r>
      <w:r>
        <w:rPr>
          <w:rFonts w:ascii="Calibri" w:eastAsia="Times New Roman" w:hAnsi="Calibri" w:cs="Calibri"/>
        </w:rPr>
        <w:t>area-</w:t>
      </w:r>
      <w:r w:rsidRPr="00694431">
        <w:rPr>
          <w:rFonts w:ascii="Calibri" w:eastAsia="Times New Roman" w:hAnsi="Calibri" w:cs="Calibri"/>
        </w:rPr>
        <w:t>based and link to additional sectors, but the target is relatively smaller units of intervention than settlements approaches.</w:t>
      </w:r>
    </w:p>
    <w:p w14:paraId="51837A70" w14:textId="77777777" w:rsidR="00A03ACE" w:rsidRPr="00694431" w:rsidRDefault="00A03ACE" w:rsidP="00694431">
      <w:pPr>
        <w:spacing w:after="0" w:line="240" w:lineRule="auto"/>
        <w:rPr>
          <w:rFonts w:ascii="Calibri" w:eastAsia="Times New Roman" w:hAnsi="Calibri" w:cs="Calibri"/>
        </w:rPr>
      </w:pPr>
    </w:p>
    <w:p w14:paraId="3BFCEF0F" w14:textId="444AE9EB" w:rsidR="00A03ACE" w:rsidRPr="00694431" w:rsidRDefault="00A03ACE" w:rsidP="00694431">
      <w:pPr>
        <w:spacing w:after="0" w:line="240" w:lineRule="auto"/>
        <w:rPr>
          <w:rFonts w:ascii="Calibri" w:eastAsia="Times New Roman" w:hAnsi="Calibri" w:cs="Calibri"/>
          <w:bCs/>
        </w:rPr>
      </w:pPr>
      <w:r>
        <w:rPr>
          <w:rFonts w:ascii="Calibri" w:eastAsia="Times New Roman" w:hAnsi="Calibri" w:cs="Calibri"/>
          <w:bCs/>
        </w:rPr>
        <w:t>Please note that s</w:t>
      </w:r>
      <w:r w:rsidRPr="00694431">
        <w:rPr>
          <w:rFonts w:ascii="Calibri" w:eastAsia="Times New Roman" w:hAnsi="Calibri" w:cs="Calibri"/>
          <w:bCs/>
        </w:rPr>
        <w:t>ome documents/authors do not distinguish</w:t>
      </w:r>
      <w:r w:rsidR="00694431" w:rsidRPr="00694431">
        <w:rPr>
          <w:rFonts w:ascii="Calibri" w:eastAsia="Times New Roman" w:hAnsi="Calibri" w:cs="Calibri"/>
          <w:bCs/>
        </w:rPr>
        <w:t xml:space="preserve"> between neighborhood, s</w:t>
      </w:r>
      <w:r w:rsidRPr="00694431">
        <w:rPr>
          <w:rFonts w:ascii="Calibri" w:eastAsia="Times New Roman" w:hAnsi="Calibri" w:cs="Calibri"/>
          <w:bCs/>
        </w:rPr>
        <w:t>ettlement</w:t>
      </w:r>
      <w:r w:rsidR="00694431">
        <w:rPr>
          <w:rFonts w:ascii="Calibri" w:eastAsia="Times New Roman" w:hAnsi="Calibri" w:cs="Calibri"/>
          <w:bCs/>
        </w:rPr>
        <w:t>s</w:t>
      </w:r>
      <w:r w:rsidRPr="00694431">
        <w:rPr>
          <w:rFonts w:ascii="Calibri" w:eastAsia="Times New Roman" w:hAnsi="Calibri" w:cs="Calibri"/>
          <w:bCs/>
        </w:rPr>
        <w:t xml:space="preserve"> and/or </w:t>
      </w:r>
      <w:r w:rsidR="00694431">
        <w:rPr>
          <w:rFonts w:ascii="Calibri" w:eastAsia="Times New Roman" w:hAnsi="Calibri" w:cs="Calibri"/>
          <w:bCs/>
        </w:rPr>
        <w:t>a</w:t>
      </w:r>
      <w:r w:rsidR="00694431" w:rsidRPr="00694431">
        <w:rPr>
          <w:rFonts w:ascii="Calibri" w:eastAsia="Times New Roman" w:hAnsi="Calibri" w:cs="Calibri"/>
          <w:bCs/>
        </w:rPr>
        <w:t xml:space="preserve">rea-based approaches. </w:t>
      </w:r>
    </w:p>
    <w:p w14:paraId="6E4133E1" w14:textId="77777777" w:rsidR="00694431" w:rsidRDefault="00694431" w:rsidP="00694431">
      <w:pPr>
        <w:spacing w:after="0" w:line="240" w:lineRule="auto"/>
        <w:rPr>
          <w:rFonts w:ascii="Calibri" w:eastAsia="Times New Roman" w:hAnsi="Calibri" w:cs="Calibri"/>
          <w:b/>
          <w:bCs/>
          <w:color w:val="0070C0"/>
          <w:sz w:val="28"/>
          <w:u w:val="single"/>
        </w:rPr>
      </w:pPr>
    </w:p>
    <w:p w14:paraId="19C870A9" w14:textId="3996B18D" w:rsidR="00694431" w:rsidRPr="00694431" w:rsidRDefault="00694431" w:rsidP="00694431">
      <w:pPr>
        <w:spacing w:after="0" w:line="240" w:lineRule="auto"/>
        <w:rPr>
          <w:rFonts w:ascii="Calibri" w:eastAsia="Times New Roman" w:hAnsi="Calibri" w:cs="Calibri"/>
          <w:b/>
          <w:bCs/>
          <w:color w:val="0070C0"/>
          <w:sz w:val="28"/>
          <w:u w:val="single"/>
        </w:rPr>
      </w:pPr>
      <w:r>
        <w:rPr>
          <w:rFonts w:ascii="Calibri" w:eastAsia="Times New Roman" w:hAnsi="Calibri" w:cs="Calibri"/>
          <w:b/>
          <w:bCs/>
          <w:color w:val="0070C0"/>
          <w:sz w:val="28"/>
          <w:u w:val="single"/>
        </w:rPr>
        <w:t>Annex</w:t>
      </w:r>
    </w:p>
    <w:p w14:paraId="0F16786A" w14:textId="46F9D961" w:rsidR="001E7E81" w:rsidRDefault="001E7E81" w:rsidP="007B295F">
      <w:pPr>
        <w:pStyle w:val="ListParagraph"/>
        <w:spacing w:after="0" w:line="240" w:lineRule="auto"/>
        <w:ind w:left="360"/>
        <w:rPr>
          <w:rFonts w:ascii="Calibri" w:eastAsia="Times New Roman" w:hAnsi="Calibri" w:cs="Calibri"/>
          <w:bCs/>
        </w:rPr>
      </w:pPr>
    </w:p>
    <w:tbl>
      <w:tblPr>
        <w:tblStyle w:val="TableGrid"/>
        <w:tblW w:w="9814" w:type="dxa"/>
        <w:tblLayout w:type="fixed"/>
        <w:tblLook w:val="04A0" w:firstRow="1" w:lastRow="0" w:firstColumn="1" w:lastColumn="0" w:noHBand="0" w:noVBand="1"/>
      </w:tblPr>
      <w:tblGrid>
        <w:gridCol w:w="9814"/>
      </w:tblGrid>
      <w:tr w:rsidR="009E676A" w:rsidRPr="004603EF" w14:paraId="427E6657" w14:textId="77777777" w:rsidTr="00E04732">
        <w:trPr>
          <w:trHeight w:val="343"/>
        </w:trPr>
        <w:tc>
          <w:tcPr>
            <w:tcW w:w="9814" w:type="dxa"/>
          </w:tcPr>
          <w:p w14:paraId="47F94FFD" w14:textId="77777777" w:rsidR="009E676A" w:rsidRPr="004603EF" w:rsidRDefault="009E676A" w:rsidP="007B295F">
            <w:pPr>
              <w:rPr>
                <w:rFonts w:ascii="Calibri" w:eastAsia="Times New Roman" w:hAnsi="Calibri" w:cs="Calibri"/>
                <w:b/>
                <w:bCs/>
              </w:rPr>
            </w:pPr>
            <w:r w:rsidRPr="004603EF">
              <w:rPr>
                <w:rFonts w:ascii="Calibri" w:eastAsia="Times New Roman" w:hAnsi="Calibri" w:cs="Calibri"/>
                <w:b/>
                <w:bCs/>
                <w:color w:val="2E74B5" w:themeColor="accent1" w:themeShade="BF"/>
              </w:rPr>
              <w:t>ANNEX: Documents Surveyed</w:t>
            </w:r>
          </w:p>
        </w:tc>
      </w:tr>
      <w:tr w:rsidR="009E676A" w:rsidRPr="00E04732" w14:paraId="2EFA0506" w14:textId="77777777" w:rsidTr="00E04732">
        <w:trPr>
          <w:trHeight w:val="3143"/>
        </w:trPr>
        <w:tc>
          <w:tcPr>
            <w:tcW w:w="9814" w:type="dxa"/>
          </w:tcPr>
          <w:p w14:paraId="0628F1C0" w14:textId="77777777" w:rsidR="009E676A" w:rsidRPr="00E04732" w:rsidRDefault="009E676A" w:rsidP="007B295F">
            <w:pPr>
              <w:pStyle w:val="ListParagraph"/>
              <w:numPr>
                <w:ilvl w:val="0"/>
                <w:numId w:val="17"/>
              </w:numPr>
              <w:rPr>
                <w:rFonts w:ascii="Calibri" w:eastAsia="Times New Roman" w:hAnsi="Calibri" w:cs="Calibri"/>
                <w:bCs/>
                <w:color w:val="2E74B5" w:themeColor="accent1" w:themeShade="BF"/>
                <w:sz w:val="18"/>
                <w:szCs w:val="18"/>
              </w:rPr>
            </w:pPr>
            <w:r w:rsidRPr="00E04732">
              <w:rPr>
                <w:rFonts w:ascii="Calibri" w:eastAsia="Times New Roman" w:hAnsi="Calibri" w:cs="Calibri"/>
                <w:b/>
                <w:bCs/>
                <w:color w:val="2E74B5" w:themeColor="accent1" w:themeShade="BF"/>
                <w:sz w:val="18"/>
                <w:szCs w:val="18"/>
              </w:rPr>
              <w:t xml:space="preserve">Document 1: </w:t>
            </w:r>
            <w:r w:rsidRPr="00E04732">
              <w:rPr>
                <w:rFonts w:ascii="Calibri" w:eastAsia="Times New Roman" w:hAnsi="Calibri" w:cs="Calibri"/>
                <w:color w:val="2E74B5" w:themeColor="accent1" w:themeShade="BF"/>
                <w:sz w:val="18"/>
                <w:szCs w:val="18"/>
              </w:rPr>
              <w:t xml:space="preserve">Maynard, V. &amp; Parker, E. 2015. “Humanitarian response to urban crises: a review of area-based approaches”. International Institute for Environment and Development. </w:t>
            </w:r>
            <w:hyperlink r:id="rId8" w:history="1">
              <w:r w:rsidRPr="00E04732">
                <w:rPr>
                  <w:rStyle w:val="Hyperlink"/>
                  <w:rFonts w:ascii="Calibri" w:eastAsia="Times New Roman" w:hAnsi="Calibri" w:cs="Calibri"/>
                  <w:bCs/>
                  <w:color w:val="2E74B5" w:themeColor="accent1" w:themeShade="BF"/>
                  <w:sz w:val="18"/>
                  <w:szCs w:val="18"/>
                </w:rPr>
                <w:t>http://pubs.iied.org/pdfs/10742IIED.pdf</w:t>
              </w:r>
            </w:hyperlink>
          </w:p>
          <w:p w14:paraId="6BCEF391" w14:textId="77777777" w:rsidR="009E676A" w:rsidRPr="00E04732" w:rsidRDefault="009E676A" w:rsidP="007B295F">
            <w:pPr>
              <w:pStyle w:val="ListParagraph"/>
              <w:numPr>
                <w:ilvl w:val="0"/>
                <w:numId w:val="17"/>
              </w:numPr>
              <w:rPr>
                <w:color w:val="2E74B5" w:themeColor="accent1" w:themeShade="BF"/>
                <w:sz w:val="18"/>
                <w:szCs w:val="18"/>
              </w:rPr>
            </w:pPr>
            <w:r w:rsidRPr="00E04732">
              <w:rPr>
                <w:rFonts w:ascii="Calibri" w:eastAsia="Times New Roman" w:hAnsi="Calibri" w:cs="Calibri"/>
                <w:b/>
                <w:bCs/>
                <w:color w:val="2E74B5" w:themeColor="accent1" w:themeShade="BF"/>
                <w:sz w:val="18"/>
                <w:szCs w:val="18"/>
              </w:rPr>
              <w:t>Document 2</w:t>
            </w:r>
            <w:r w:rsidRPr="00E04732">
              <w:rPr>
                <w:rFonts w:ascii="Calibri" w:eastAsia="Times New Roman" w:hAnsi="Calibri" w:cs="Calibri"/>
                <w:bCs/>
                <w:color w:val="2E74B5" w:themeColor="accent1" w:themeShade="BF"/>
                <w:sz w:val="18"/>
                <w:szCs w:val="18"/>
              </w:rPr>
              <w:t xml:space="preserve">: IFRC and Skat. 2012. “Sustainable Reconstruction in Urban Areas: A Handbook”. </w:t>
            </w:r>
            <w:hyperlink r:id="rId9" w:history="1">
              <w:r w:rsidRPr="00E04732">
                <w:rPr>
                  <w:rStyle w:val="Hyperlink"/>
                  <w:color w:val="2E74B5" w:themeColor="accent1" w:themeShade="BF"/>
                  <w:sz w:val="18"/>
                  <w:szCs w:val="18"/>
                </w:rPr>
                <w:t>https://www.humanitarianlibrary.org/sites/default/files/2014/02/urban_reconstruction_handbook_ifrc-skat.pdf</w:t>
              </w:r>
            </w:hyperlink>
          </w:p>
          <w:p w14:paraId="7D62F0F1" w14:textId="77777777" w:rsidR="009E676A" w:rsidRPr="00E04732" w:rsidRDefault="009E676A" w:rsidP="007B295F">
            <w:pPr>
              <w:pStyle w:val="ListParagraph"/>
              <w:numPr>
                <w:ilvl w:val="0"/>
                <w:numId w:val="17"/>
              </w:numPr>
              <w:rPr>
                <w:color w:val="2E74B5" w:themeColor="accent1" w:themeShade="BF"/>
                <w:sz w:val="18"/>
                <w:szCs w:val="18"/>
              </w:rPr>
            </w:pPr>
            <w:r w:rsidRPr="00E04732">
              <w:rPr>
                <w:b/>
                <w:color w:val="2E74B5" w:themeColor="accent1" w:themeShade="BF"/>
                <w:sz w:val="18"/>
                <w:szCs w:val="18"/>
              </w:rPr>
              <w:t>Document 3</w:t>
            </w:r>
            <w:r w:rsidRPr="00E04732">
              <w:rPr>
                <w:color w:val="2E74B5" w:themeColor="accent1" w:themeShade="BF"/>
                <w:sz w:val="18"/>
                <w:szCs w:val="18"/>
              </w:rPr>
              <w:t>: Impact Initiatives. n.d. “Strengthening Humanitarian Action by Promoting Settlement Approaches and Effective Engagement with Local Stakeholders Factsheet 2”.</w:t>
            </w:r>
          </w:p>
          <w:p w14:paraId="57C243B6" w14:textId="77777777" w:rsidR="009E676A" w:rsidRPr="00E04732" w:rsidRDefault="009E676A" w:rsidP="007B295F">
            <w:pPr>
              <w:pStyle w:val="ListParagraph"/>
              <w:numPr>
                <w:ilvl w:val="0"/>
                <w:numId w:val="17"/>
              </w:numPr>
              <w:rPr>
                <w:color w:val="2E74B5" w:themeColor="accent1" w:themeShade="BF"/>
                <w:sz w:val="18"/>
                <w:szCs w:val="18"/>
              </w:rPr>
            </w:pPr>
            <w:r w:rsidRPr="00E04732">
              <w:rPr>
                <w:b/>
                <w:color w:val="2E74B5" w:themeColor="accent1" w:themeShade="BF"/>
                <w:sz w:val="18"/>
                <w:szCs w:val="18"/>
              </w:rPr>
              <w:t>Document 4</w:t>
            </w:r>
            <w:r w:rsidRPr="00E04732">
              <w:rPr>
                <w:color w:val="2E74B5" w:themeColor="accent1" w:themeShade="BF"/>
                <w:sz w:val="18"/>
                <w:szCs w:val="18"/>
              </w:rPr>
              <w:t xml:space="preserve">: USAID-OFDA. 2011. “The “Neighborhood Approach”, a Means of Improving the Delivery of Humanitarian Assistance in Urban Areas”. </w:t>
            </w:r>
            <w:hyperlink r:id="rId10" w:history="1">
              <w:r w:rsidRPr="00E04732">
                <w:rPr>
                  <w:rStyle w:val="Hyperlink"/>
                  <w:color w:val="2E74B5" w:themeColor="accent1" w:themeShade="BF"/>
                  <w:sz w:val="18"/>
                  <w:szCs w:val="18"/>
                </w:rPr>
                <w:t>https://humanitarianlibrary.org/sites/default/files/2014/01/USAID-OFDA%20Neighborhood%20Approach%20One-Pager%20%2711%20Sept%2023.pdf</w:t>
              </w:r>
            </w:hyperlink>
          </w:p>
          <w:p w14:paraId="52AC8830" w14:textId="77777777" w:rsidR="009E676A" w:rsidRPr="00E04732" w:rsidRDefault="009E676A" w:rsidP="007B295F">
            <w:pPr>
              <w:pStyle w:val="ListParagraph"/>
              <w:numPr>
                <w:ilvl w:val="0"/>
                <w:numId w:val="17"/>
              </w:numPr>
              <w:rPr>
                <w:color w:val="2E74B5" w:themeColor="accent1" w:themeShade="BF"/>
                <w:sz w:val="18"/>
                <w:szCs w:val="18"/>
              </w:rPr>
            </w:pPr>
            <w:r w:rsidRPr="00E04732">
              <w:rPr>
                <w:b/>
                <w:color w:val="2E74B5" w:themeColor="accent1" w:themeShade="BF"/>
                <w:sz w:val="18"/>
                <w:szCs w:val="18"/>
              </w:rPr>
              <w:t>Document 5</w:t>
            </w:r>
            <w:r w:rsidRPr="00E04732">
              <w:rPr>
                <w:color w:val="2E74B5" w:themeColor="accent1" w:themeShade="BF"/>
                <w:sz w:val="18"/>
                <w:szCs w:val="18"/>
              </w:rPr>
              <w:t xml:space="preserve">: European Commission. 2017. “DG ECHO: Thematic Policy Document Shelter and Settlements”. </w:t>
            </w:r>
            <w:hyperlink r:id="rId11" w:history="1">
              <w:r w:rsidRPr="00E04732">
                <w:rPr>
                  <w:rStyle w:val="Hyperlink"/>
                  <w:color w:val="2E74B5" w:themeColor="accent1" w:themeShade="BF"/>
                  <w:sz w:val="18"/>
                  <w:szCs w:val="18"/>
                </w:rPr>
                <w:t>http://ec.europa.eu/echo/sites/echo-site/files/ss_consolidated_guidelines_final_version.pdf</w:t>
              </w:r>
            </w:hyperlink>
          </w:p>
          <w:p w14:paraId="3FF188EE" w14:textId="77777777" w:rsidR="009E676A" w:rsidRPr="00E04732" w:rsidRDefault="009E676A" w:rsidP="007B295F">
            <w:pPr>
              <w:pStyle w:val="ListParagraph"/>
              <w:numPr>
                <w:ilvl w:val="0"/>
                <w:numId w:val="17"/>
              </w:numPr>
              <w:rPr>
                <w:color w:val="2E74B5" w:themeColor="accent1" w:themeShade="BF"/>
                <w:sz w:val="18"/>
                <w:szCs w:val="18"/>
              </w:rPr>
            </w:pPr>
            <w:r w:rsidRPr="00E04732">
              <w:rPr>
                <w:b/>
                <w:color w:val="2E74B5" w:themeColor="accent1" w:themeShade="BF"/>
                <w:sz w:val="18"/>
                <w:szCs w:val="18"/>
              </w:rPr>
              <w:t>Document 6</w:t>
            </w:r>
            <w:r w:rsidRPr="00E04732">
              <w:rPr>
                <w:color w:val="2E74B5" w:themeColor="accent1" w:themeShade="BF"/>
                <w:sz w:val="18"/>
                <w:szCs w:val="18"/>
              </w:rPr>
              <w:t xml:space="preserve">: UNHCR. 2014. “Global Strategy for Settlement and Shelter: A UNHCR Strategy 2014-2018”. </w:t>
            </w:r>
            <w:hyperlink r:id="rId12" w:history="1">
              <w:r w:rsidRPr="00E04732">
                <w:rPr>
                  <w:rStyle w:val="Hyperlink"/>
                  <w:color w:val="2E74B5" w:themeColor="accent1" w:themeShade="BF"/>
                  <w:sz w:val="18"/>
                  <w:szCs w:val="18"/>
                </w:rPr>
                <w:t>http://www.unhcr.org/530f13aa9.pdf</w:t>
              </w:r>
            </w:hyperlink>
            <w:r w:rsidRPr="00E04732">
              <w:rPr>
                <w:color w:val="2E74B5" w:themeColor="accent1" w:themeShade="BF"/>
                <w:sz w:val="18"/>
                <w:szCs w:val="18"/>
              </w:rPr>
              <w:t xml:space="preserve"> </w:t>
            </w:r>
          </w:p>
          <w:p w14:paraId="100C1C70" w14:textId="77777777" w:rsidR="009E676A" w:rsidRPr="00E04732" w:rsidRDefault="009E676A" w:rsidP="007B295F">
            <w:pPr>
              <w:pStyle w:val="ListParagraph"/>
              <w:numPr>
                <w:ilvl w:val="0"/>
                <w:numId w:val="17"/>
              </w:numPr>
              <w:rPr>
                <w:color w:val="2E74B5" w:themeColor="accent1" w:themeShade="BF"/>
                <w:sz w:val="18"/>
                <w:szCs w:val="18"/>
              </w:rPr>
            </w:pPr>
            <w:r w:rsidRPr="00E04732">
              <w:rPr>
                <w:b/>
                <w:color w:val="2E74B5" w:themeColor="accent1" w:themeShade="BF"/>
                <w:sz w:val="18"/>
                <w:szCs w:val="18"/>
                <w:lang w:val="fr-CH"/>
              </w:rPr>
              <w:t>Document 7</w:t>
            </w:r>
            <w:r w:rsidRPr="00E04732">
              <w:rPr>
                <w:color w:val="2E74B5" w:themeColor="accent1" w:themeShade="BF"/>
                <w:sz w:val="18"/>
                <w:szCs w:val="18"/>
                <w:lang w:val="fr-CH"/>
              </w:rPr>
              <w:t xml:space="preserve">: Sanderson, D. &amp; Sitko, P. 2017. </w:t>
            </w:r>
            <w:r w:rsidRPr="00E04732">
              <w:rPr>
                <w:color w:val="2E74B5" w:themeColor="accent1" w:themeShade="BF"/>
                <w:sz w:val="18"/>
                <w:szCs w:val="18"/>
              </w:rPr>
              <w:t>“Urban area-based approaches in post-disaster contexts: Guidance Note for Humanitarian Practitioners”.</w:t>
            </w:r>
            <w:r w:rsidRPr="00E04732">
              <w:rPr>
                <w:rFonts w:ascii="Calibri" w:eastAsia="Times New Roman" w:hAnsi="Calibri" w:cs="Calibri"/>
                <w:color w:val="2E74B5" w:themeColor="accent1" w:themeShade="BF"/>
                <w:sz w:val="18"/>
                <w:szCs w:val="18"/>
              </w:rPr>
              <w:t xml:space="preserve"> International Institute for Environment and Development. </w:t>
            </w:r>
            <w:hyperlink r:id="rId13" w:history="1">
              <w:r w:rsidRPr="00E04732">
                <w:rPr>
                  <w:rStyle w:val="Hyperlink"/>
                  <w:rFonts w:ascii="Calibri" w:eastAsia="Times New Roman" w:hAnsi="Calibri" w:cs="Calibri"/>
                  <w:color w:val="2E74B5" w:themeColor="accent1" w:themeShade="BF"/>
                  <w:sz w:val="18"/>
                  <w:szCs w:val="18"/>
                </w:rPr>
                <w:t>http://pubs.iied.org/pdfs/10825IIED.pdf</w:t>
              </w:r>
            </w:hyperlink>
            <w:r w:rsidRPr="00E04732">
              <w:rPr>
                <w:rFonts w:ascii="Calibri" w:eastAsia="Times New Roman" w:hAnsi="Calibri" w:cs="Calibri"/>
                <w:color w:val="2E74B5" w:themeColor="accent1" w:themeShade="BF"/>
                <w:sz w:val="18"/>
                <w:szCs w:val="18"/>
              </w:rPr>
              <w:t xml:space="preserve"> </w:t>
            </w:r>
          </w:p>
          <w:p w14:paraId="301EF717" w14:textId="3BABBDD1" w:rsidR="00E04732" w:rsidRPr="00E04732" w:rsidRDefault="00E04732" w:rsidP="007B295F">
            <w:pPr>
              <w:pStyle w:val="ListParagraph"/>
              <w:numPr>
                <w:ilvl w:val="0"/>
                <w:numId w:val="17"/>
              </w:numPr>
              <w:rPr>
                <w:color w:val="2E74B5" w:themeColor="accent1" w:themeShade="BF"/>
                <w:sz w:val="12"/>
                <w:szCs w:val="16"/>
              </w:rPr>
            </w:pPr>
            <w:r w:rsidRPr="00E04732">
              <w:rPr>
                <w:sz w:val="18"/>
                <w:szCs w:val="18"/>
              </w:rPr>
              <w:t xml:space="preserve">Document 8: The Global CCCM Cluster. 2014. Desk Review: Urban Displacement &amp; Outside of Camp. </w:t>
            </w:r>
            <w:hyperlink r:id="rId14" w:history="1">
              <w:r w:rsidRPr="00E04732">
                <w:rPr>
                  <w:rStyle w:val="Hyperlink"/>
                  <w:sz w:val="18"/>
                  <w:szCs w:val="18"/>
                </w:rPr>
                <w:t>https://www.dropbox.com/sh/489lzpo8ojtvdyg/AAAlShfRXOciJOQE_ydc7UpFa?dl=0&amp;preview=UDOC+Desk+Review_Digital+publishing.pdf</w:t>
              </w:r>
            </w:hyperlink>
          </w:p>
        </w:tc>
      </w:tr>
    </w:tbl>
    <w:p w14:paraId="2DAC59AF" w14:textId="77777777" w:rsidR="009E676A" w:rsidRPr="00E04732" w:rsidRDefault="009E676A" w:rsidP="007B295F">
      <w:pPr>
        <w:spacing w:after="0" w:line="240" w:lineRule="auto"/>
        <w:rPr>
          <w:rFonts w:ascii="Calibri" w:eastAsia="Times New Roman" w:hAnsi="Calibri" w:cs="Calibri"/>
          <w:bCs/>
          <w:sz w:val="18"/>
        </w:rPr>
      </w:pPr>
    </w:p>
    <w:sectPr w:rsidR="009E676A" w:rsidRPr="00E04732" w:rsidSect="00635BFF">
      <w:headerReference w:type="default" r:id="rId15"/>
      <w:footerReference w:type="default" r:id="rId16"/>
      <w:pgSz w:w="12240" w:h="15840"/>
      <w:pgMar w:top="1500" w:right="1440" w:bottom="900" w:left="1440"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8E484" w14:textId="77777777" w:rsidR="002C6042" w:rsidRDefault="002C6042" w:rsidP="001E7E81">
      <w:pPr>
        <w:spacing w:after="0" w:line="240" w:lineRule="auto"/>
      </w:pPr>
      <w:r>
        <w:separator/>
      </w:r>
    </w:p>
  </w:endnote>
  <w:endnote w:type="continuationSeparator" w:id="0">
    <w:p w14:paraId="32BC01E5" w14:textId="77777777" w:rsidR="002C6042" w:rsidRDefault="002C6042" w:rsidP="001E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B53A" w14:textId="77777777" w:rsidR="00851DAC" w:rsidRDefault="00851DAC" w:rsidP="001E7E81">
    <w:pPr>
      <w:pStyle w:val="Footer"/>
      <w:pBdr>
        <w:top w:val="single" w:sz="4" w:space="1" w:color="auto"/>
      </w:pBdr>
    </w:pPr>
    <w:r>
      <w:t xml:space="preserve">Page </w:t>
    </w:r>
    <w:r>
      <w:rPr>
        <w:b/>
        <w:bCs/>
      </w:rPr>
      <w:fldChar w:fldCharType="begin"/>
    </w:r>
    <w:r>
      <w:rPr>
        <w:b/>
        <w:bCs/>
      </w:rPr>
      <w:instrText xml:space="preserve"> PAGE  \* Arabic  \* MERGEFORMAT </w:instrText>
    </w:r>
    <w:r>
      <w:rPr>
        <w:b/>
        <w:bCs/>
      </w:rPr>
      <w:fldChar w:fldCharType="separate"/>
    </w:r>
    <w:r w:rsidR="00FB034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B0340">
      <w:rPr>
        <w:b/>
        <w:bCs/>
        <w:noProof/>
      </w:rPr>
      <w:t>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471B" w14:textId="77777777" w:rsidR="002C6042" w:rsidRDefault="002C6042" w:rsidP="001E7E81">
      <w:pPr>
        <w:spacing w:after="0" w:line="240" w:lineRule="auto"/>
      </w:pPr>
      <w:r>
        <w:separator/>
      </w:r>
    </w:p>
  </w:footnote>
  <w:footnote w:type="continuationSeparator" w:id="0">
    <w:p w14:paraId="3A4AD7B9" w14:textId="77777777" w:rsidR="002C6042" w:rsidRDefault="002C6042" w:rsidP="001E7E81">
      <w:pPr>
        <w:spacing w:after="0" w:line="240" w:lineRule="auto"/>
      </w:pPr>
      <w:r>
        <w:continuationSeparator/>
      </w:r>
    </w:p>
  </w:footnote>
  <w:footnote w:id="1">
    <w:p w14:paraId="0F0E57D5" w14:textId="77777777" w:rsidR="00851DAC" w:rsidRDefault="00851DAC">
      <w:pPr>
        <w:pStyle w:val="FootnoteText"/>
      </w:pPr>
      <w:r>
        <w:rPr>
          <w:rStyle w:val="FootnoteReference"/>
        </w:rPr>
        <w:footnoteRef/>
      </w:r>
      <w:r>
        <w:t xml:space="preserve"> See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92F1" w14:textId="3C4FFC0A" w:rsidR="00851DAC" w:rsidRDefault="00851DAC" w:rsidP="001374BF">
    <w:pPr>
      <w:pStyle w:val="Header"/>
      <w:rPr>
        <w:rFonts w:ascii="Calibri" w:eastAsia="Times New Roman" w:hAnsi="Calibri" w:cs="Calibri"/>
        <w:b/>
        <w:sz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lang w:val="en-GB" w:eastAsia="en-GB"/>
      </w:rPr>
      <w:drawing>
        <wp:inline distT="0" distB="0" distL="0" distR="0" wp14:anchorId="69C40521" wp14:editId="2005C369">
          <wp:extent cx="1708150" cy="2667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9245" b="2778"/>
                  <a:stretch/>
                </pic:blipFill>
                <pic:spPr bwMode="auto">
                  <a:xfrm>
                    <a:off x="0" y="0"/>
                    <a:ext cx="1796596" cy="280509"/>
                  </a:xfrm>
                  <a:prstGeom prst="rect">
                    <a:avLst/>
                  </a:prstGeom>
                  <a:noFill/>
                  <a:ln>
                    <a:noFill/>
                  </a:ln>
                  <a:extLst>
                    <a:ext uri="{53640926-AAD7-44D8-BBD7-CCE9431645EC}">
                      <a14:shadowObscured xmlns:a14="http://schemas.microsoft.com/office/drawing/2010/main"/>
                    </a:ext>
                  </a:extLst>
                </pic:spPr>
              </pic:pic>
            </a:graphicData>
          </a:graphic>
        </wp:inline>
      </w:drawing>
    </w:r>
    <w:r w:rsidRPr="001374BF">
      <w:rPr>
        <w:rFonts w:ascii="Verdana" w:hAnsi="Verdana"/>
        <w:b/>
        <w:color w:val="7F1416"/>
        <w:sz w:val="20"/>
        <w:szCs w:val="20"/>
      </w:rPr>
      <w:tab/>
    </w:r>
    <w:r w:rsidRPr="00635BFF">
      <w:rPr>
        <w:rFonts w:eastAsia="Times New Roman" w:cstheme="minorHAnsi"/>
        <w:color w:val="2E74B5" w:themeColor="accent1" w:themeShade="BF"/>
        <w:sz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Shelter &amp; Settlements Definitions/Usage of Terminology</w:t>
    </w:r>
  </w:p>
  <w:p w14:paraId="78BCF39A" w14:textId="77777777" w:rsidR="00851DAC" w:rsidRDefault="00851DAC" w:rsidP="001E7E81">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CE2"/>
    <w:multiLevelType w:val="hybridMultilevel"/>
    <w:tmpl w:val="8416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497A"/>
    <w:multiLevelType w:val="hybridMultilevel"/>
    <w:tmpl w:val="3326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269F"/>
    <w:multiLevelType w:val="hybridMultilevel"/>
    <w:tmpl w:val="6428D194"/>
    <w:lvl w:ilvl="0" w:tplc="CB8C3B82">
      <w:start w:val="1"/>
      <w:numFmt w:val="upperLetter"/>
      <w:lvlText w:val="%1."/>
      <w:lvlJc w:val="left"/>
      <w:pPr>
        <w:ind w:left="360" w:hanging="360"/>
      </w:pPr>
      <w:rPr>
        <w:rFonts w:hint="default"/>
        <w:b/>
        <w:color w:val="2E74B5"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959CD"/>
    <w:multiLevelType w:val="hybridMultilevel"/>
    <w:tmpl w:val="A6F4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560DF"/>
    <w:multiLevelType w:val="hybridMultilevel"/>
    <w:tmpl w:val="4DB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07534"/>
    <w:multiLevelType w:val="hybridMultilevel"/>
    <w:tmpl w:val="41163D1C"/>
    <w:lvl w:ilvl="0" w:tplc="57D273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53659"/>
    <w:multiLevelType w:val="hybridMultilevel"/>
    <w:tmpl w:val="446A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F31A1"/>
    <w:multiLevelType w:val="hybridMultilevel"/>
    <w:tmpl w:val="3B3865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E4BBA"/>
    <w:multiLevelType w:val="hybridMultilevel"/>
    <w:tmpl w:val="AACA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F2BF4"/>
    <w:multiLevelType w:val="hybridMultilevel"/>
    <w:tmpl w:val="EC66CE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01579"/>
    <w:multiLevelType w:val="hybridMultilevel"/>
    <w:tmpl w:val="6ED8F25E"/>
    <w:lvl w:ilvl="0" w:tplc="0409000F">
      <w:start w:val="1"/>
      <w:numFmt w:val="decimal"/>
      <w:lvlText w:val="%1."/>
      <w:lvlJc w:val="left"/>
      <w:pPr>
        <w:ind w:left="360" w:hanging="360"/>
      </w:pPr>
      <w:rPr>
        <w:rFonts w:hint="default"/>
      </w:rPr>
    </w:lvl>
    <w:lvl w:ilvl="1" w:tplc="C8ACF0E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3714C7"/>
    <w:multiLevelType w:val="hybridMultilevel"/>
    <w:tmpl w:val="A41A20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03D4D"/>
    <w:multiLevelType w:val="hybridMultilevel"/>
    <w:tmpl w:val="EE143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7E581F"/>
    <w:multiLevelType w:val="hybridMultilevel"/>
    <w:tmpl w:val="8598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BC789E"/>
    <w:multiLevelType w:val="hybridMultilevel"/>
    <w:tmpl w:val="3A94A2D2"/>
    <w:lvl w:ilvl="0" w:tplc="24040E4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0284A"/>
    <w:multiLevelType w:val="hybridMultilevel"/>
    <w:tmpl w:val="C30AF73C"/>
    <w:lvl w:ilvl="0" w:tplc="24040E4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931400"/>
    <w:multiLevelType w:val="hybridMultilevel"/>
    <w:tmpl w:val="30CEB882"/>
    <w:lvl w:ilvl="0" w:tplc="24040E4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10"/>
  </w:num>
  <w:num w:numId="5">
    <w:abstractNumId w:val="2"/>
  </w:num>
  <w:num w:numId="6">
    <w:abstractNumId w:val="11"/>
  </w:num>
  <w:num w:numId="7">
    <w:abstractNumId w:val="7"/>
  </w:num>
  <w:num w:numId="8">
    <w:abstractNumId w:val="9"/>
  </w:num>
  <w:num w:numId="9">
    <w:abstractNumId w:val="4"/>
  </w:num>
  <w:num w:numId="10">
    <w:abstractNumId w:val="3"/>
  </w:num>
  <w:num w:numId="11">
    <w:abstractNumId w:val="16"/>
  </w:num>
  <w:num w:numId="12">
    <w:abstractNumId w:val="14"/>
  </w:num>
  <w:num w:numId="13">
    <w:abstractNumId w:val="6"/>
  </w:num>
  <w:num w:numId="14">
    <w:abstractNumId w:val="0"/>
  </w:num>
  <w:num w:numId="15">
    <w:abstractNumId w:val="8"/>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8E"/>
    <w:rsid w:val="00012B55"/>
    <w:rsid w:val="000170E3"/>
    <w:rsid w:val="0004147D"/>
    <w:rsid w:val="00045449"/>
    <w:rsid w:val="00082EA3"/>
    <w:rsid w:val="00094265"/>
    <w:rsid w:val="00094FDE"/>
    <w:rsid w:val="000A1F7C"/>
    <w:rsid w:val="000B4243"/>
    <w:rsid w:val="000C3272"/>
    <w:rsid w:val="001374BF"/>
    <w:rsid w:val="00183DF4"/>
    <w:rsid w:val="001A6B3A"/>
    <w:rsid w:val="001E7E81"/>
    <w:rsid w:val="002251BB"/>
    <w:rsid w:val="0025214C"/>
    <w:rsid w:val="002757D4"/>
    <w:rsid w:val="002B5267"/>
    <w:rsid w:val="002C6042"/>
    <w:rsid w:val="002C6F22"/>
    <w:rsid w:val="002E1452"/>
    <w:rsid w:val="002F69F9"/>
    <w:rsid w:val="0030315D"/>
    <w:rsid w:val="00304083"/>
    <w:rsid w:val="00323A89"/>
    <w:rsid w:val="00346F7B"/>
    <w:rsid w:val="00396FE4"/>
    <w:rsid w:val="003C2AEF"/>
    <w:rsid w:val="003F6014"/>
    <w:rsid w:val="004113A9"/>
    <w:rsid w:val="0042534B"/>
    <w:rsid w:val="0045442F"/>
    <w:rsid w:val="004603EF"/>
    <w:rsid w:val="00495CF1"/>
    <w:rsid w:val="004A211B"/>
    <w:rsid w:val="004B6BE4"/>
    <w:rsid w:val="004D393F"/>
    <w:rsid w:val="00507CAA"/>
    <w:rsid w:val="005171E8"/>
    <w:rsid w:val="0056344C"/>
    <w:rsid w:val="005708BD"/>
    <w:rsid w:val="005760DA"/>
    <w:rsid w:val="00587AEE"/>
    <w:rsid w:val="005B26DF"/>
    <w:rsid w:val="005E1CEA"/>
    <w:rsid w:val="00605CF1"/>
    <w:rsid w:val="00612166"/>
    <w:rsid w:val="00635BFF"/>
    <w:rsid w:val="00650692"/>
    <w:rsid w:val="00694431"/>
    <w:rsid w:val="00695139"/>
    <w:rsid w:val="006B0F8E"/>
    <w:rsid w:val="006C18EB"/>
    <w:rsid w:val="006E441F"/>
    <w:rsid w:val="00733DC3"/>
    <w:rsid w:val="0073694D"/>
    <w:rsid w:val="007565A5"/>
    <w:rsid w:val="00763861"/>
    <w:rsid w:val="007848E1"/>
    <w:rsid w:val="0079163E"/>
    <w:rsid w:val="00795824"/>
    <w:rsid w:val="007B295F"/>
    <w:rsid w:val="007C52F0"/>
    <w:rsid w:val="00807883"/>
    <w:rsid w:val="00813DF9"/>
    <w:rsid w:val="00816D28"/>
    <w:rsid w:val="00851DAC"/>
    <w:rsid w:val="008A0E6F"/>
    <w:rsid w:val="008A5186"/>
    <w:rsid w:val="008A7759"/>
    <w:rsid w:val="008C0F98"/>
    <w:rsid w:val="008E2365"/>
    <w:rsid w:val="009A4E1F"/>
    <w:rsid w:val="009C3FB3"/>
    <w:rsid w:val="009E676A"/>
    <w:rsid w:val="00A03ACE"/>
    <w:rsid w:val="00A2609E"/>
    <w:rsid w:val="00A30C25"/>
    <w:rsid w:val="00A357F7"/>
    <w:rsid w:val="00A37A69"/>
    <w:rsid w:val="00A40AF6"/>
    <w:rsid w:val="00A5705D"/>
    <w:rsid w:val="00A576A4"/>
    <w:rsid w:val="00A746F7"/>
    <w:rsid w:val="00A753E6"/>
    <w:rsid w:val="00AA31A2"/>
    <w:rsid w:val="00AF51AD"/>
    <w:rsid w:val="00B0080E"/>
    <w:rsid w:val="00B4785C"/>
    <w:rsid w:val="00BC725D"/>
    <w:rsid w:val="00C913F0"/>
    <w:rsid w:val="00C96A21"/>
    <w:rsid w:val="00CE3A1E"/>
    <w:rsid w:val="00D054DB"/>
    <w:rsid w:val="00D17430"/>
    <w:rsid w:val="00D31BB3"/>
    <w:rsid w:val="00D3250E"/>
    <w:rsid w:val="00D36E97"/>
    <w:rsid w:val="00D975E3"/>
    <w:rsid w:val="00DA4AE4"/>
    <w:rsid w:val="00DB2AFA"/>
    <w:rsid w:val="00DB2E29"/>
    <w:rsid w:val="00DB37F5"/>
    <w:rsid w:val="00DC65A4"/>
    <w:rsid w:val="00DD0944"/>
    <w:rsid w:val="00DE2394"/>
    <w:rsid w:val="00E04732"/>
    <w:rsid w:val="00E231C0"/>
    <w:rsid w:val="00E6216A"/>
    <w:rsid w:val="00EA7626"/>
    <w:rsid w:val="00EB1E7B"/>
    <w:rsid w:val="00EE051B"/>
    <w:rsid w:val="00F75773"/>
    <w:rsid w:val="00F81DBE"/>
    <w:rsid w:val="00FB0340"/>
    <w:rsid w:val="00FB236F"/>
    <w:rsid w:val="00FB597D"/>
    <w:rsid w:val="00FC2EF4"/>
    <w:rsid w:val="00FC4C7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B9FD3"/>
  <w15:chartTrackingRefBased/>
  <w15:docId w15:val="{8156D03D-0333-434A-9B59-9AD1CEE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30"/>
    <w:pPr>
      <w:ind w:left="720"/>
      <w:contextualSpacing/>
    </w:pPr>
  </w:style>
  <w:style w:type="paragraph" w:styleId="Header">
    <w:name w:val="header"/>
    <w:basedOn w:val="Normal"/>
    <w:link w:val="HeaderChar"/>
    <w:uiPriority w:val="99"/>
    <w:unhideWhenUsed/>
    <w:rsid w:val="001E7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81"/>
  </w:style>
  <w:style w:type="paragraph" w:styleId="Footer">
    <w:name w:val="footer"/>
    <w:basedOn w:val="Normal"/>
    <w:link w:val="FooterChar"/>
    <w:uiPriority w:val="99"/>
    <w:unhideWhenUsed/>
    <w:rsid w:val="001E7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81"/>
  </w:style>
  <w:style w:type="paragraph" w:styleId="BalloonText">
    <w:name w:val="Balloon Text"/>
    <w:basedOn w:val="Normal"/>
    <w:link w:val="BalloonTextChar"/>
    <w:uiPriority w:val="99"/>
    <w:semiHidden/>
    <w:unhideWhenUsed/>
    <w:rsid w:val="00807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883"/>
    <w:rPr>
      <w:rFonts w:ascii="Segoe UI" w:hAnsi="Segoe UI" w:cs="Segoe UI"/>
      <w:sz w:val="18"/>
      <w:szCs w:val="18"/>
    </w:rPr>
  </w:style>
  <w:style w:type="paragraph" w:styleId="Revision">
    <w:name w:val="Revision"/>
    <w:hidden/>
    <w:uiPriority w:val="99"/>
    <w:semiHidden/>
    <w:rsid w:val="00FC4C7E"/>
    <w:pPr>
      <w:spacing w:after="0" w:line="240" w:lineRule="auto"/>
    </w:pPr>
  </w:style>
  <w:style w:type="character" w:styleId="CommentReference">
    <w:name w:val="annotation reference"/>
    <w:basedOn w:val="DefaultParagraphFont"/>
    <w:uiPriority w:val="99"/>
    <w:semiHidden/>
    <w:unhideWhenUsed/>
    <w:rsid w:val="00495CF1"/>
    <w:rPr>
      <w:sz w:val="16"/>
      <w:szCs w:val="16"/>
    </w:rPr>
  </w:style>
  <w:style w:type="paragraph" w:styleId="CommentText">
    <w:name w:val="annotation text"/>
    <w:basedOn w:val="Normal"/>
    <w:link w:val="CommentTextChar"/>
    <w:uiPriority w:val="99"/>
    <w:unhideWhenUsed/>
    <w:rsid w:val="00495CF1"/>
    <w:pPr>
      <w:spacing w:line="240" w:lineRule="auto"/>
    </w:pPr>
    <w:rPr>
      <w:sz w:val="20"/>
      <w:szCs w:val="20"/>
    </w:rPr>
  </w:style>
  <w:style w:type="character" w:customStyle="1" w:styleId="CommentTextChar">
    <w:name w:val="Comment Text Char"/>
    <w:basedOn w:val="DefaultParagraphFont"/>
    <w:link w:val="CommentText"/>
    <w:uiPriority w:val="99"/>
    <w:rsid w:val="00495CF1"/>
    <w:rPr>
      <w:sz w:val="20"/>
      <w:szCs w:val="20"/>
    </w:rPr>
  </w:style>
  <w:style w:type="paragraph" w:styleId="CommentSubject">
    <w:name w:val="annotation subject"/>
    <w:basedOn w:val="CommentText"/>
    <w:next w:val="CommentText"/>
    <w:link w:val="CommentSubjectChar"/>
    <w:uiPriority w:val="99"/>
    <w:semiHidden/>
    <w:unhideWhenUsed/>
    <w:rsid w:val="00495CF1"/>
    <w:rPr>
      <w:b/>
      <w:bCs/>
    </w:rPr>
  </w:style>
  <w:style w:type="character" w:customStyle="1" w:styleId="CommentSubjectChar">
    <w:name w:val="Comment Subject Char"/>
    <w:basedOn w:val="CommentTextChar"/>
    <w:link w:val="CommentSubject"/>
    <w:uiPriority w:val="99"/>
    <w:semiHidden/>
    <w:rsid w:val="00495CF1"/>
    <w:rPr>
      <w:b/>
      <w:bCs/>
      <w:sz w:val="20"/>
      <w:szCs w:val="20"/>
    </w:rPr>
  </w:style>
  <w:style w:type="paragraph" w:styleId="FootnoteText">
    <w:name w:val="footnote text"/>
    <w:basedOn w:val="Normal"/>
    <w:link w:val="FootnoteTextChar"/>
    <w:uiPriority w:val="99"/>
    <w:semiHidden/>
    <w:unhideWhenUsed/>
    <w:rsid w:val="00791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63E"/>
    <w:rPr>
      <w:sz w:val="20"/>
      <w:szCs w:val="20"/>
    </w:rPr>
  </w:style>
  <w:style w:type="character" w:styleId="FootnoteReference">
    <w:name w:val="footnote reference"/>
    <w:basedOn w:val="DefaultParagraphFont"/>
    <w:uiPriority w:val="99"/>
    <w:semiHidden/>
    <w:unhideWhenUsed/>
    <w:rsid w:val="0079163E"/>
    <w:rPr>
      <w:vertAlign w:val="superscript"/>
    </w:rPr>
  </w:style>
  <w:style w:type="character" w:styleId="Hyperlink">
    <w:name w:val="Hyperlink"/>
    <w:basedOn w:val="DefaultParagraphFont"/>
    <w:uiPriority w:val="99"/>
    <w:unhideWhenUsed/>
    <w:rsid w:val="005E1CEA"/>
    <w:rPr>
      <w:color w:val="0563C1" w:themeColor="hyperlink"/>
      <w:u w:val="single"/>
    </w:rPr>
  </w:style>
  <w:style w:type="table" w:styleId="TableGrid">
    <w:name w:val="Table Grid"/>
    <w:basedOn w:val="TableNormal"/>
    <w:uiPriority w:val="39"/>
    <w:rsid w:val="0085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iied.org/pdfs/10742IIED.pdf" TargetMode="External"/><Relationship Id="rId13" Type="http://schemas.openxmlformats.org/officeDocument/2006/relationships/hyperlink" Target="http://pubs.iied.org/pdfs/10825IIE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hcr.org/530f13aa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cho/sites/echo-site/files/ss_consolidated_guidelines_final_vers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umanitarianlibrary.org/sites/default/files/2014/01/USAID-OFDA%20Neighborhood%20Approach%20One-Pager%20%2711%20Sept%2023.pdf" TargetMode="External"/><Relationship Id="rId4" Type="http://schemas.openxmlformats.org/officeDocument/2006/relationships/settings" Target="settings.xml"/><Relationship Id="rId9" Type="http://schemas.openxmlformats.org/officeDocument/2006/relationships/hyperlink" Target="https://www.humanitarianlibrary.org/sites/default/files/2014/02/urban_reconstruction_handbook_ifrc-skat.pdf" TargetMode="External"/><Relationship Id="rId14" Type="http://schemas.openxmlformats.org/officeDocument/2006/relationships/hyperlink" Target="https://www.dropbox.com/sh/489lzpo8ojtvdyg/AAAlShfRXOciJOQE_ydc7UpFa?dl=0&amp;preview=UDOC+Desk+Review_Digital+publish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52A1-03EB-441B-BAAB-D0B856A4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13417</Characters>
  <Application>Microsoft Office Word</Application>
  <DocSecurity>0</DocSecurity>
  <Lines>111</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dc:creator>
  <cp:keywords/>
  <dc:description/>
  <cp:lastModifiedBy>James</cp:lastModifiedBy>
  <cp:revision>2</cp:revision>
  <cp:lastPrinted>2018-04-17T07:58:00Z</cp:lastPrinted>
  <dcterms:created xsi:type="dcterms:W3CDTF">2018-04-24T13:15:00Z</dcterms:created>
  <dcterms:modified xsi:type="dcterms:W3CDTF">2018-04-24T13:15:00Z</dcterms:modified>
</cp:coreProperties>
</file>