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16" w:rsidRDefault="007A2516" w:rsidP="00E23F3D">
      <w:pPr>
        <w:pStyle w:val="Heading1"/>
        <w:jc w:val="center"/>
        <w:rPr>
          <w:b/>
          <w:color w:val="FF0000"/>
          <w:lang w:val="es-ES"/>
        </w:rPr>
      </w:pPr>
      <w:bookmarkStart w:id="0" w:name="_GoBack"/>
      <w:r>
        <w:rPr>
          <w:b/>
          <w:noProof/>
          <w:color w:val="FF0000"/>
          <w:lang w:eastAsia="en-GB"/>
        </w:rPr>
        <w:drawing>
          <wp:inline distT="0" distB="0" distL="0" distR="0">
            <wp:extent cx="4972050" cy="1038225"/>
            <wp:effectExtent l="0" t="0" r="0" b="9525"/>
            <wp:docPr id="1" name="Picture 1" descr="D:\Users\anna.pont\AppData\Local\Microsoft\Windows\Temporary Internet Files\Content.Outlook\515N56EV\Logo - Global Shelter Cluster - 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na.pont\AppData\Local\Microsoft\Windows\Temporary Internet Files\Content.Outlook\515N56EV\Logo - Global Shelter Cluster - Per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038225"/>
                    </a:xfrm>
                    <a:prstGeom prst="rect">
                      <a:avLst/>
                    </a:prstGeom>
                    <a:noFill/>
                    <a:ln>
                      <a:noFill/>
                    </a:ln>
                  </pic:spPr>
                </pic:pic>
              </a:graphicData>
            </a:graphic>
          </wp:inline>
        </w:drawing>
      </w:r>
      <w:bookmarkEnd w:id="0"/>
    </w:p>
    <w:p w:rsidR="003E5A8D" w:rsidRPr="00E23F3D" w:rsidRDefault="00761066" w:rsidP="00E23F3D">
      <w:pPr>
        <w:pStyle w:val="Heading1"/>
        <w:jc w:val="center"/>
        <w:rPr>
          <w:b/>
          <w:color w:val="FF0000"/>
          <w:lang w:val="es-ES"/>
        </w:rPr>
      </w:pPr>
      <w:r w:rsidRPr="00E23F3D">
        <w:rPr>
          <w:b/>
          <w:color w:val="FF0000"/>
          <w:lang w:val="es-ES"/>
        </w:rPr>
        <w:t>E</w:t>
      </w:r>
      <w:r w:rsidR="00063B40" w:rsidRPr="00E23F3D">
        <w:rPr>
          <w:b/>
          <w:color w:val="FF0000"/>
          <w:lang w:val="es-ES"/>
        </w:rPr>
        <w:t>STRUCTURA DEL GRUPO SECTORIAL DE ALOJAMIENTOS TEMPORALES</w:t>
      </w:r>
    </w:p>
    <w:p w:rsidR="003E5A8D" w:rsidRDefault="003E5A8D" w:rsidP="003E5A8D">
      <w:pPr>
        <w:spacing w:after="0"/>
        <w:rPr>
          <w:b/>
          <w:color w:val="284353"/>
          <w:lang w:val="es-ES"/>
        </w:rPr>
      </w:pPr>
    </w:p>
    <w:tbl>
      <w:tblPr>
        <w:tblW w:w="9920" w:type="dxa"/>
        <w:tblCellMar>
          <w:left w:w="0" w:type="dxa"/>
          <w:right w:w="0" w:type="dxa"/>
        </w:tblCellMar>
        <w:tblLook w:val="00A0" w:firstRow="1" w:lastRow="0" w:firstColumn="1" w:lastColumn="0" w:noHBand="0" w:noVBand="0"/>
      </w:tblPr>
      <w:tblGrid>
        <w:gridCol w:w="2691"/>
        <w:gridCol w:w="7229"/>
      </w:tblGrid>
      <w:tr w:rsidR="003E5A8D" w:rsidRPr="00063B40"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3E5A8D" w:rsidP="008F6FB9">
            <w:pPr>
              <w:spacing w:after="0"/>
              <w:rPr>
                <w:color w:val="FFFFFF"/>
                <w:sz w:val="24"/>
                <w:szCs w:val="24"/>
                <w:lang w:val="es-ES"/>
              </w:rPr>
            </w:pPr>
            <w:r w:rsidRPr="00E23F3D">
              <w:rPr>
                <w:b/>
                <w:bCs/>
                <w:color w:val="FFFFFF"/>
                <w:sz w:val="24"/>
                <w:szCs w:val="24"/>
                <w:lang w:val="es-ES"/>
              </w:rPr>
              <w:t>Nombre respuesta</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063B40" w:rsidP="00063B40">
            <w:pPr>
              <w:spacing w:after="0"/>
              <w:rPr>
                <w:sz w:val="24"/>
                <w:szCs w:val="24"/>
                <w:lang w:val="es-ES"/>
              </w:rPr>
            </w:pPr>
            <w:r w:rsidRPr="00E23F3D">
              <w:rPr>
                <w:sz w:val="24"/>
                <w:szCs w:val="24"/>
                <w:lang w:val="es-ES"/>
              </w:rPr>
              <w:t>SHELTER CLUSTER</w:t>
            </w:r>
            <w:r w:rsidR="00DD3EFA" w:rsidRPr="00E23F3D">
              <w:rPr>
                <w:sz w:val="24"/>
                <w:szCs w:val="24"/>
                <w:lang w:val="es-ES"/>
              </w:rPr>
              <w:t xml:space="preserve"> </w:t>
            </w:r>
          </w:p>
        </w:tc>
      </w:tr>
      <w:tr w:rsidR="003E5A8D"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2E2F7A" w:rsidP="008F6FB9">
            <w:pPr>
              <w:spacing w:after="0"/>
              <w:rPr>
                <w:b/>
                <w:bCs/>
                <w:color w:val="FFFFFF"/>
                <w:sz w:val="24"/>
                <w:szCs w:val="24"/>
                <w:lang w:val="es-ES"/>
              </w:rPr>
            </w:pPr>
            <w:proofErr w:type="spellStart"/>
            <w:r w:rsidRPr="00E23F3D">
              <w:rPr>
                <w:b/>
                <w:bCs/>
                <w:color w:val="FFFFFF"/>
                <w:sz w:val="24"/>
                <w:szCs w:val="24"/>
                <w:lang w:val="es-ES"/>
              </w:rPr>
              <w:t>Shelter</w:t>
            </w:r>
            <w:proofErr w:type="spellEnd"/>
            <w:r w:rsidRPr="00E23F3D">
              <w:rPr>
                <w:b/>
                <w:bCs/>
                <w:color w:val="FFFFFF"/>
                <w:sz w:val="24"/>
                <w:szCs w:val="24"/>
                <w:lang w:val="es-ES"/>
              </w:rPr>
              <w:t xml:space="preserve"> Cluster</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F329D2" w:rsidP="004450F7">
            <w:pPr>
              <w:spacing w:after="0"/>
              <w:rPr>
                <w:sz w:val="24"/>
                <w:szCs w:val="24"/>
                <w:lang w:val="es-ES"/>
              </w:rPr>
            </w:pPr>
            <w:r w:rsidRPr="00E23F3D">
              <w:rPr>
                <w:sz w:val="24"/>
                <w:szCs w:val="24"/>
                <w:lang w:val="es-ES"/>
              </w:rPr>
              <w:t>Es un mecanismo del sistema humanitario para la respuesta a desast</w:t>
            </w:r>
            <w:r w:rsidR="002E2F7A" w:rsidRPr="00E23F3D">
              <w:rPr>
                <w:sz w:val="24"/>
                <w:szCs w:val="24"/>
                <w:lang w:val="es-ES"/>
              </w:rPr>
              <w:t>res y conflictos relacionados al alojamiento</w:t>
            </w:r>
            <w:r w:rsidR="00063B40" w:rsidRPr="00E23F3D">
              <w:rPr>
                <w:sz w:val="24"/>
                <w:szCs w:val="24"/>
                <w:lang w:val="es-ES"/>
              </w:rPr>
              <w:t xml:space="preserve"> temporal de emergencia</w:t>
            </w:r>
            <w:r w:rsidR="002E2F7A" w:rsidRPr="00E23F3D">
              <w:rPr>
                <w:sz w:val="24"/>
                <w:szCs w:val="24"/>
                <w:lang w:val="es-ES"/>
              </w:rPr>
              <w:t>.</w:t>
            </w:r>
          </w:p>
        </w:tc>
      </w:tr>
      <w:tr w:rsidR="002E2F7A" w:rsidRPr="00277E55" w:rsidTr="00063B40">
        <w:trPr>
          <w:trHeight w:val="1471"/>
        </w:trPr>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2E2F7A" w:rsidRPr="00E23F3D" w:rsidRDefault="002E2F7A" w:rsidP="008F6FB9">
            <w:pPr>
              <w:spacing w:after="0"/>
              <w:rPr>
                <w:b/>
                <w:bCs/>
                <w:color w:val="FFFFFF"/>
                <w:sz w:val="24"/>
                <w:szCs w:val="24"/>
                <w:lang w:val="es-ES"/>
              </w:rPr>
            </w:pPr>
            <w:r w:rsidRPr="00E23F3D">
              <w:rPr>
                <w:b/>
                <w:bCs/>
                <w:color w:val="FFFFFF"/>
                <w:sz w:val="24"/>
                <w:szCs w:val="24"/>
                <w:lang w:val="es-ES"/>
              </w:rPr>
              <w:t>Objetivo</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2E2F7A" w:rsidRPr="00E23F3D" w:rsidRDefault="00DD3EFA" w:rsidP="00063B40">
            <w:pPr>
              <w:jc w:val="both"/>
              <w:rPr>
                <w:sz w:val="24"/>
                <w:szCs w:val="24"/>
                <w:lang w:val="es-ES"/>
              </w:rPr>
            </w:pPr>
            <w:r w:rsidRPr="00E23F3D">
              <w:rPr>
                <w:sz w:val="24"/>
                <w:szCs w:val="24"/>
                <w:lang w:val="es-ES"/>
              </w:rPr>
              <w:t>Estar preparado para responder a las necesidades de alojamiento de emergencia de una manera coordinada, efectiva y con una respuesta común; reuniendo a todos los actores que participan en la respuesta de alojamiento, para apoyar a los gobierno, que son los primeros actores en responder a los desastres.</w:t>
            </w:r>
          </w:p>
        </w:tc>
      </w:tr>
      <w:tr w:rsidR="00E84192" w:rsidRPr="00277E55" w:rsidTr="00063B40">
        <w:trPr>
          <w:trHeight w:val="2092"/>
        </w:trPr>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E84192" w:rsidRPr="00E23F3D" w:rsidRDefault="00E84192" w:rsidP="008F6FB9">
            <w:pPr>
              <w:spacing w:after="0"/>
              <w:rPr>
                <w:b/>
                <w:bCs/>
                <w:color w:val="FFFFFF"/>
                <w:sz w:val="24"/>
                <w:szCs w:val="24"/>
                <w:lang w:val="es-ES"/>
              </w:rPr>
            </w:pPr>
            <w:r w:rsidRPr="00E23F3D">
              <w:rPr>
                <w:b/>
                <w:bCs/>
                <w:color w:val="FFFFFF"/>
                <w:sz w:val="24"/>
                <w:szCs w:val="24"/>
                <w:lang w:val="es-ES"/>
              </w:rPr>
              <w:t>Metas</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E84192" w:rsidRPr="00E23F3D" w:rsidRDefault="00E84192" w:rsidP="00063B40">
            <w:pPr>
              <w:pStyle w:val="ListParagraph"/>
              <w:numPr>
                <w:ilvl w:val="0"/>
                <w:numId w:val="7"/>
              </w:numPr>
              <w:ind w:left="310"/>
              <w:jc w:val="both"/>
              <w:rPr>
                <w:sz w:val="24"/>
                <w:szCs w:val="24"/>
                <w:lang w:val="es-ES"/>
              </w:rPr>
            </w:pPr>
            <w:r w:rsidRPr="00E23F3D">
              <w:rPr>
                <w:sz w:val="24"/>
                <w:szCs w:val="24"/>
                <w:lang w:val="es-ES"/>
              </w:rPr>
              <w:t>Mejorar las condiciones de vida durante el desplazamiento</w:t>
            </w:r>
          </w:p>
          <w:p w:rsidR="00E84192" w:rsidRPr="00E23F3D" w:rsidRDefault="00E84192" w:rsidP="00063B40">
            <w:pPr>
              <w:pStyle w:val="ListParagraph"/>
              <w:numPr>
                <w:ilvl w:val="0"/>
                <w:numId w:val="7"/>
              </w:numPr>
              <w:ind w:left="310"/>
              <w:jc w:val="both"/>
              <w:rPr>
                <w:sz w:val="24"/>
                <w:szCs w:val="24"/>
                <w:lang w:val="es-ES"/>
              </w:rPr>
            </w:pPr>
            <w:r w:rsidRPr="00E23F3D">
              <w:rPr>
                <w:sz w:val="24"/>
                <w:szCs w:val="24"/>
                <w:lang w:val="es-ES"/>
              </w:rPr>
              <w:t>Buscar soluciones duraderas para poner fin a la permanencia en alojamientos temporales y organizar su clausura y eliminación progresiva</w:t>
            </w:r>
          </w:p>
          <w:p w:rsidR="00E84192" w:rsidRPr="00E23F3D" w:rsidRDefault="00E84192" w:rsidP="00063B40">
            <w:pPr>
              <w:pStyle w:val="ListParagraph"/>
              <w:numPr>
                <w:ilvl w:val="0"/>
                <w:numId w:val="7"/>
              </w:numPr>
              <w:ind w:left="310"/>
              <w:jc w:val="both"/>
              <w:rPr>
                <w:sz w:val="24"/>
                <w:szCs w:val="24"/>
                <w:lang w:val="es-ES"/>
              </w:rPr>
            </w:pPr>
            <w:r w:rsidRPr="00E23F3D">
              <w:rPr>
                <w:sz w:val="24"/>
                <w:szCs w:val="24"/>
                <w:lang w:val="es-ES"/>
              </w:rPr>
              <w:t>Procurar el acceso a los alojamientos temporales y a la prestación de servicios</w:t>
            </w:r>
          </w:p>
          <w:p w:rsidR="00E84192" w:rsidRPr="00E23F3D" w:rsidRDefault="00E84192" w:rsidP="00063B40">
            <w:pPr>
              <w:pStyle w:val="ListParagraph"/>
              <w:numPr>
                <w:ilvl w:val="0"/>
                <w:numId w:val="7"/>
              </w:numPr>
              <w:ind w:left="310"/>
              <w:jc w:val="both"/>
              <w:rPr>
                <w:sz w:val="24"/>
                <w:szCs w:val="24"/>
                <w:lang w:val="es-ES"/>
              </w:rPr>
            </w:pPr>
            <w:r w:rsidRPr="00E23F3D">
              <w:rPr>
                <w:sz w:val="24"/>
                <w:szCs w:val="24"/>
                <w:lang w:val="es-ES"/>
              </w:rPr>
              <w:t>Asegurar la asistencia y protección de los desplazados internos dentro de los alojamientos temporales</w:t>
            </w:r>
          </w:p>
        </w:tc>
      </w:tr>
      <w:tr w:rsidR="00E7264A" w:rsidRPr="00277E55" w:rsidTr="00DD3EFA">
        <w:trPr>
          <w:trHeight w:val="1080"/>
        </w:trPr>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E7264A" w:rsidRPr="00E23F3D" w:rsidRDefault="00E7264A" w:rsidP="008F6FB9">
            <w:pPr>
              <w:spacing w:after="0"/>
              <w:rPr>
                <w:b/>
                <w:bCs/>
                <w:color w:val="FFFFFF"/>
                <w:sz w:val="24"/>
                <w:szCs w:val="24"/>
                <w:lang w:val="es-ES"/>
              </w:rPr>
            </w:pPr>
            <w:r w:rsidRPr="00E23F3D">
              <w:rPr>
                <w:b/>
                <w:bCs/>
                <w:color w:val="FFFFFF"/>
                <w:sz w:val="24"/>
                <w:szCs w:val="24"/>
                <w:lang w:val="es-ES"/>
              </w:rPr>
              <w:t>Activación</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EA048E" w:rsidRPr="00E23F3D" w:rsidRDefault="00E7264A" w:rsidP="00EA048E">
            <w:pPr>
              <w:rPr>
                <w:sz w:val="24"/>
                <w:szCs w:val="24"/>
                <w:lang w:val="es-ES"/>
              </w:rPr>
            </w:pPr>
            <w:r w:rsidRPr="00E23F3D">
              <w:rPr>
                <w:sz w:val="24"/>
                <w:szCs w:val="24"/>
                <w:lang w:val="es-ES"/>
              </w:rPr>
              <w:t>Cuando ocurre una emergencia repentina en el país, el equipo humanitario y sectores del gobierno miembros del clúster deben reunirse y discutir la escala de las necesidades, si se trata o no de una emergencia internacional y si el gobierno necesita apoyo de la comunidad internacional</w:t>
            </w:r>
            <w:r w:rsidR="00EA048E" w:rsidRPr="00E23F3D">
              <w:rPr>
                <w:sz w:val="24"/>
                <w:szCs w:val="24"/>
                <w:lang w:val="es-ES"/>
              </w:rPr>
              <w:t>.</w:t>
            </w:r>
          </w:p>
          <w:p w:rsidR="00EA048E" w:rsidRPr="00E23F3D" w:rsidRDefault="00EA048E" w:rsidP="00EA048E">
            <w:pPr>
              <w:rPr>
                <w:rFonts w:asciiTheme="majorHAnsi" w:hAnsiTheme="majorHAnsi"/>
                <w:sz w:val="24"/>
                <w:szCs w:val="24"/>
                <w:lang w:val="es-PE"/>
              </w:rPr>
            </w:pPr>
            <w:r w:rsidRPr="00E23F3D">
              <w:rPr>
                <w:rFonts w:asciiTheme="majorHAnsi" w:hAnsiTheme="majorHAnsi"/>
                <w:sz w:val="24"/>
                <w:szCs w:val="24"/>
                <w:lang w:val="es-PE"/>
              </w:rPr>
              <w:t>El lugar de la primera reunión de coordinación se realizará donde se ubique y funcione el grupo de toma de decisiones del Ministerio de Vivienda y Construcción.</w:t>
            </w:r>
          </w:p>
          <w:p w:rsidR="00EA048E" w:rsidRPr="00E23F3D" w:rsidRDefault="00EA048E" w:rsidP="00EA048E">
            <w:pPr>
              <w:spacing w:after="0" w:line="240" w:lineRule="auto"/>
              <w:jc w:val="both"/>
              <w:rPr>
                <w:rFonts w:asciiTheme="majorHAnsi" w:hAnsiTheme="majorHAnsi"/>
                <w:sz w:val="24"/>
                <w:szCs w:val="24"/>
                <w:lang w:val="es-PE"/>
              </w:rPr>
            </w:pPr>
            <w:r w:rsidRPr="00E23F3D">
              <w:rPr>
                <w:rFonts w:asciiTheme="majorHAnsi" w:hAnsiTheme="majorHAnsi"/>
                <w:sz w:val="24"/>
                <w:szCs w:val="24"/>
                <w:lang w:val="es-PE"/>
              </w:rPr>
              <w:t>Hora de la primera reunión</w:t>
            </w:r>
          </w:p>
          <w:p w:rsidR="00EA048E" w:rsidRPr="00E23F3D" w:rsidRDefault="00EA048E" w:rsidP="00EA048E">
            <w:pPr>
              <w:pStyle w:val="ListParagraph"/>
              <w:numPr>
                <w:ilvl w:val="0"/>
                <w:numId w:val="12"/>
              </w:numPr>
              <w:spacing w:after="0" w:line="240" w:lineRule="auto"/>
              <w:ind w:left="310" w:hanging="284"/>
              <w:contextualSpacing w:val="0"/>
              <w:jc w:val="both"/>
              <w:rPr>
                <w:rFonts w:asciiTheme="majorHAnsi" w:hAnsiTheme="majorHAnsi"/>
                <w:sz w:val="24"/>
                <w:szCs w:val="24"/>
                <w:lang w:val="es-PE"/>
              </w:rPr>
            </w:pPr>
            <w:r w:rsidRPr="00E23F3D">
              <w:rPr>
                <w:rFonts w:asciiTheme="majorHAnsi" w:hAnsiTheme="majorHAnsi"/>
                <w:sz w:val="24"/>
                <w:szCs w:val="24"/>
                <w:lang w:val="es-PE"/>
              </w:rPr>
              <w:lastRenderedPageBreak/>
              <w:t>A la 8 horas de ocurrido el evento si este ocurre entre las 00 a 10 horas.</w:t>
            </w:r>
          </w:p>
          <w:p w:rsidR="00EA048E" w:rsidRPr="00E23F3D" w:rsidRDefault="00EA048E" w:rsidP="00EA048E">
            <w:pPr>
              <w:pStyle w:val="ListParagraph"/>
              <w:numPr>
                <w:ilvl w:val="0"/>
                <w:numId w:val="12"/>
              </w:numPr>
              <w:spacing w:after="0" w:line="240" w:lineRule="auto"/>
              <w:ind w:left="310" w:hanging="284"/>
              <w:contextualSpacing w:val="0"/>
              <w:jc w:val="both"/>
              <w:rPr>
                <w:rFonts w:asciiTheme="majorHAnsi" w:hAnsiTheme="majorHAnsi"/>
                <w:sz w:val="24"/>
                <w:szCs w:val="24"/>
                <w:lang w:val="es-PE"/>
              </w:rPr>
            </w:pPr>
            <w:r w:rsidRPr="00E23F3D">
              <w:rPr>
                <w:rFonts w:asciiTheme="majorHAnsi" w:hAnsiTheme="majorHAnsi"/>
                <w:sz w:val="24"/>
                <w:szCs w:val="24"/>
                <w:lang w:val="es-PE"/>
              </w:rPr>
              <w:t>A las 8 horas del día siguiente cuando el evento ocurre después de las 10 horas.</w:t>
            </w:r>
          </w:p>
          <w:p w:rsidR="00EA048E" w:rsidRPr="00E23F3D" w:rsidRDefault="00EA048E" w:rsidP="00EA048E">
            <w:pPr>
              <w:spacing w:after="0" w:line="240" w:lineRule="auto"/>
              <w:ind w:left="72"/>
              <w:jc w:val="both"/>
              <w:rPr>
                <w:rFonts w:asciiTheme="majorHAnsi" w:hAnsiTheme="majorHAnsi"/>
                <w:sz w:val="24"/>
                <w:szCs w:val="24"/>
                <w:lang w:val="es-PE"/>
              </w:rPr>
            </w:pPr>
          </w:p>
          <w:p w:rsidR="00EA048E" w:rsidRPr="00E23F3D" w:rsidRDefault="00EA048E" w:rsidP="00EA048E">
            <w:pPr>
              <w:spacing w:after="0" w:line="240" w:lineRule="auto"/>
              <w:jc w:val="both"/>
              <w:rPr>
                <w:rFonts w:asciiTheme="majorHAnsi" w:hAnsiTheme="majorHAnsi"/>
                <w:sz w:val="24"/>
                <w:szCs w:val="24"/>
              </w:rPr>
            </w:pPr>
            <w:proofErr w:type="spellStart"/>
            <w:r w:rsidRPr="00E23F3D">
              <w:rPr>
                <w:rFonts w:asciiTheme="majorHAnsi" w:hAnsiTheme="majorHAnsi"/>
                <w:sz w:val="24"/>
                <w:szCs w:val="24"/>
              </w:rPr>
              <w:t>Frecuencia</w:t>
            </w:r>
            <w:proofErr w:type="spellEnd"/>
            <w:r w:rsidRPr="00E23F3D">
              <w:rPr>
                <w:rFonts w:asciiTheme="majorHAnsi" w:hAnsiTheme="majorHAnsi"/>
                <w:sz w:val="24"/>
                <w:szCs w:val="24"/>
              </w:rPr>
              <w:t xml:space="preserve"> de </w:t>
            </w:r>
            <w:proofErr w:type="spellStart"/>
            <w:r w:rsidRPr="00E23F3D">
              <w:rPr>
                <w:rFonts w:asciiTheme="majorHAnsi" w:hAnsiTheme="majorHAnsi"/>
                <w:sz w:val="24"/>
                <w:szCs w:val="24"/>
              </w:rPr>
              <w:t>las</w:t>
            </w:r>
            <w:proofErr w:type="spellEnd"/>
            <w:r w:rsidRPr="00E23F3D">
              <w:rPr>
                <w:rFonts w:asciiTheme="majorHAnsi" w:hAnsiTheme="majorHAnsi"/>
                <w:sz w:val="24"/>
                <w:szCs w:val="24"/>
              </w:rPr>
              <w:t xml:space="preserve"> </w:t>
            </w:r>
            <w:proofErr w:type="spellStart"/>
            <w:r w:rsidRPr="00E23F3D">
              <w:rPr>
                <w:rFonts w:asciiTheme="majorHAnsi" w:hAnsiTheme="majorHAnsi"/>
                <w:sz w:val="24"/>
                <w:szCs w:val="24"/>
              </w:rPr>
              <w:t>reuniones</w:t>
            </w:r>
            <w:proofErr w:type="spellEnd"/>
          </w:p>
          <w:p w:rsidR="00EA048E" w:rsidRPr="00E23F3D" w:rsidRDefault="00EA048E" w:rsidP="00EA048E">
            <w:pPr>
              <w:pStyle w:val="ListParagraph"/>
              <w:numPr>
                <w:ilvl w:val="0"/>
                <w:numId w:val="13"/>
              </w:numPr>
              <w:spacing w:after="0" w:line="240" w:lineRule="auto"/>
              <w:ind w:left="310" w:hanging="284"/>
              <w:jc w:val="both"/>
              <w:rPr>
                <w:rFonts w:asciiTheme="majorHAnsi" w:hAnsiTheme="majorHAnsi"/>
                <w:sz w:val="24"/>
                <w:szCs w:val="24"/>
              </w:rPr>
            </w:pPr>
            <w:proofErr w:type="spellStart"/>
            <w:r w:rsidRPr="00E23F3D">
              <w:rPr>
                <w:rFonts w:asciiTheme="majorHAnsi" w:hAnsiTheme="majorHAnsi"/>
                <w:sz w:val="24"/>
                <w:szCs w:val="24"/>
              </w:rPr>
              <w:t>Cada</w:t>
            </w:r>
            <w:proofErr w:type="spellEnd"/>
            <w:r w:rsidRPr="00E23F3D">
              <w:rPr>
                <w:rFonts w:asciiTheme="majorHAnsi" w:hAnsiTheme="majorHAnsi"/>
                <w:sz w:val="24"/>
                <w:szCs w:val="24"/>
              </w:rPr>
              <w:t xml:space="preserve"> 12 horas</w:t>
            </w:r>
          </w:p>
          <w:p w:rsidR="00EA048E" w:rsidRPr="00E23F3D" w:rsidRDefault="00EA048E" w:rsidP="00EA048E">
            <w:pPr>
              <w:pStyle w:val="ListParagraph"/>
              <w:numPr>
                <w:ilvl w:val="0"/>
                <w:numId w:val="13"/>
              </w:numPr>
              <w:spacing w:after="0" w:line="240" w:lineRule="auto"/>
              <w:ind w:left="310" w:hanging="284"/>
              <w:jc w:val="both"/>
              <w:rPr>
                <w:sz w:val="24"/>
                <w:szCs w:val="24"/>
                <w:lang w:val="es-PE"/>
              </w:rPr>
            </w:pPr>
            <w:r w:rsidRPr="00E23F3D">
              <w:rPr>
                <w:rFonts w:asciiTheme="majorHAnsi" w:hAnsiTheme="majorHAnsi"/>
                <w:sz w:val="24"/>
                <w:szCs w:val="24"/>
                <w:lang w:val="es-PE"/>
              </w:rPr>
              <w:t>Dependiendo los requerimientos del manejo del desastre</w:t>
            </w:r>
          </w:p>
        </w:tc>
      </w:tr>
      <w:tr w:rsidR="003E5A8D"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426418" w:rsidP="008F6FB9">
            <w:pPr>
              <w:spacing w:after="0"/>
              <w:rPr>
                <w:color w:val="FFFFFF"/>
                <w:sz w:val="24"/>
                <w:szCs w:val="24"/>
                <w:lang w:val="es-ES"/>
              </w:rPr>
            </w:pPr>
            <w:r w:rsidRPr="00E23F3D">
              <w:rPr>
                <w:b/>
                <w:bCs/>
                <w:color w:val="FFFFFF"/>
                <w:sz w:val="24"/>
                <w:szCs w:val="24"/>
                <w:lang w:val="es-ES"/>
              </w:rPr>
              <w:lastRenderedPageBreak/>
              <w:t>Agencia</w:t>
            </w:r>
            <w:r w:rsidR="003E5A8D" w:rsidRPr="00E23F3D">
              <w:rPr>
                <w:b/>
                <w:bCs/>
                <w:color w:val="FFFFFF"/>
                <w:sz w:val="24"/>
                <w:szCs w:val="24"/>
                <w:lang w:val="es-ES"/>
              </w:rPr>
              <w:t xml:space="preserve"> Líd</w:t>
            </w:r>
            <w:r w:rsidR="002E2F7A" w:rsidRPr="00E23F3D">
              <w:rPr>
                <w:b/>
                <w:bCs/>
                <w:color w:val="FFFFFF"/>
                <w:sz w:val="24"/>
                <w:szCs w:val="24"/>
                <w:lang w:val="es-ES"/>
              </w:rPr>
              <w:t xml:space="preserve">er </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Default="0054060A" w:rsidP="0054060A">
            <w:pPr>
              <w:spacing w:after="0"/>
              <w:rPr>
                <w:sz w:val="24"/>
                <w:szCs w:val="24"/>
                <w:lang w:val="es-ES"/>
              </w:rPr>
            </w:pPr>
            <w:r>
              <w:rPr>
                <w:sz w:val="24"/>
                <w:szCs w:val="24"/>
                <w:lang w:val="es-ES"/>
              </w:rPr>
              <w:t>Cruz Roja Peruana (Emergencias hasta nivel 4)</w:t>
            </w:r>
          </w:p>
          <w:p w:rsidR="0054060A" w:rsidRPr="00E23F3D" w:rsidRDefault="0054060A" w:rsidP="0054060A">
            <w:pPr>
              <w:spacing w:after="0"/>
              <w:rPr>
                <w:sz w:val="24"/>
                <w:szCs w:val="24"/>
                <w:lang w:val="es-ES"/>
              </w:rPr>
            </w:pPr>
            <w:r w:rsidRPr="00E23F3D">
              <w:rPr>
                <w:sz w:val="24"/>
                <w:szCs w:val="24"/>
                <w:lang w:val="es-ES"/>
              </w:rPr>
              <w:t>Federación Internacional de Sociedades de la Cruz Roja y la Media Luna Roja (FICR)</w:t>
            </w:r>
            <w:r>
              <w:rPr>
                <w:sz w:val="24"/>
                <w:szCs w:val="24"/>
                <w:lang w:val="es-ES"/>
              </w:rPr>
              <w:t xml:space="preserve"> (Emergencias de nivel 5).</w:t>
            </w:r>
          </w:p>
        </w:tc>
      </w:tr>
      <w:tr w:rsidR="00063B40"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063B40" w:rsidRPr="00E23F3D" w:rsidRDefault="00063B40" w:rsidP="008F6FB9">
            <w:pPr>
              <w:spacing w:after="0"/>
              <w:rPr>
                <w:b/>
                <w:bCs/>
                <w:color w:val="FFFFFF"/>
                <w:sz w:val="24"/>
                <w:szCs w:val="24"/>
                <w:lang w:val="es-ES"/>
              </w:rPr>
            </w:pPr>
            <w:r w:rsidRPr="00E23F3D">
              <w:rPr>
                <w:b/>
                <w:bCs/>
                <w:color w:val="FFFFFF"/>
                <w:sz w:val="24"/>
                <w:szCs w:val="24"/>
                <w:lang w:val="es-ES"/>
              </w:rPr>
              <w:t>Funciones</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063B40" w:rsidRPr="00E23F3D" w:rsidRDefault="00063B40" w:rsidP="00063B40">
            <w:pPr>
              <w:spacing w:after="0"/>
              <w:jc w:val="both"/>
              <w:rPr>
                <w:sz w:val="24"/>
                <w:szCs w:val="24"/>
                <w:lang w:val="es-ES"/>
              </w:rPr>
            </w:pPr>
            <w:r w:rsidRPr="00E23F3D">
              <w:rPr>
                <w:rFonts w:asciiTheme="majorHAnsi" w:hAnsiTheme="majorHAnsi"/>
                <w:sz w:val="24"/>
                <w:szCs w:val="24"/>
                <w:lang w:val="es-ES"/>
              </w:rPr>
              <w:t xml:space="preserve">El líder del grupo sectorial tiene la responsabilidad de propiciar una estrecha colaboración entre los actores humanitarios internacionales, locales, privados y </w:t>
            </w:r>
            <w:proofErr w:type="spellStart"/>
            <w:r w:rsidRPr="00E23F3D">
              <w:rPr>
                <w:rFonts w:asciiTheme="majorHAnsi" w:hAnsiTheme="majorHAnsi"/>
                <w:sz w:val="24"/>
                <w:szCs w:val="24"/>
                <w:lang w:val="es-ES"/>
              </w:rPr>
              <w:t>ONG’s</w:t>
            </w:r>
            <w:proofErr w:type="spellEnd"/>
            <w:r w:rsidRPr="00E23F3D">
              <w:rPr>
                <w:rFonts w:asciiTheme="majorHAnsi" w:hAnsiTheme="majorHAnsi"/>
                <w:sz w:val="24"/>
                <w:szCs w:val="24"/>
                <w:lang w:val="es-ES"/>
              </w:rPr>
              <w:t xml:space="preserve"> que trabajan en el sector y de asegurar vínculos adecuados para con las autoridades gubernamentales y locales.</w:t>
            </w:r>
          </w:p>
        </w:tc>
      </w:tr>
      <w:tr w:rsidR="003E5A8D" w:rsidRPr="00761066"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3E5A8D" w:rsidP="008F6FB9">
            <w:pPr>
              <w:spacing w:after="0"/>
              <w:rPr>
                <w:b/>
                <w:bCs/>
                <w:color w:val="FFFFFF"/>
                <w:sz w:val="24"/>
                <w:szCs w:val="24"/>
                <w:lang w:val="es-ES"/>
              </w:rPr>
            </w:pPr>
            <w:r w:rsidRPr="00E23F3D">
              <w:rPr>
                <w:b/>
                <w:bCs/>
                <w:color w:val="FFFFFF"/>
                <w:sz w:val="24"/>
                <w:szCs w:val="24"/>
                <w:lang w:val="es-ES"/>
              </w:rPr>
              <w:t>Coordinador del Grupo Contacto</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3E5A8D" w:rsidP="008F6FB9">
            <w:pPr>
              <w:spacing w:after="0"/>
              <w:rPr>
                <w:sz w:val="24"/>
                <w:szCs w:val="24"/>
                <w:lang w:val="es-ES"/>
              </w:rPr>
            </w:pPr>
            <w:r w:rsidRPr="00E23F3D">
              <w:rPr>
                <w:b/>
                <w:sz w:val="24"/>
                <w:szCs w:val="24"/>
                <w:lang w:val="es-ES"/>
              </w:rPr>
              <w:t>Nombre:</w:t>
            </w:r>
            <w:r w:rsidR="0054060A">
              <w:rPr>
                <w:sz w:val="24"/>
                <w:szCs w:val="24"/>
                <w:lang w:val="es-ES"/>
              </w:rPr>
              <w:t xml:space="preserve">  Jorge Menendez </w:t>
            </w:r>
          </w:p>
          <w:p w:rsidR="003E5A8D" w:rsidRPr="00E23F3D" w:rsidRDefault="003E5A8D" w:rsidP="008F6FB9">
            <w:pPr>
              <w:spacing w:after="0"/>
              <w:rPr>
                <w:sz w:val="24"/>
                <w:szCs w:val="24"/>
                <w:lang w:val="es-ES"/>
              </w:rPr>
            </w:pPr>
            <w:r w:rsidRPr="00E23F3D">
              <w:rPr>
                <w:b/>
                <w:sz w:val="24"/>
                <w:szCs w:val="24"/>
                <w:lang w:val="es-ES"/>
              </w:rPr>
              <w:t>Correo electrónico:</w:t>
            </w:r>
            <w:r w:rsidR="003521A6" w:rsidRPr="00E23F3D">
              <w:rPr>
                <w:sz w:val="24"/>
                <w:szCs w:val="24"/>
                <w:lang w:val="es-ES"/>
              </w:rPr>
              <w:t xml:space="preserve"> </w:t>
            </w:r>
            <w:r w:rsidR="0054060A">
              <w:rPr>
                <w:sz w:val="24"/>
                <w:szCs w:val="24"/>
                <w:lang w:val="es-ES"/>
              </w:rPr>
              <w:t>director.ejecutivo@cruzroja.org.pe</w:t>
            </w:r>
          </w:p>
          <w:p w:rsidR="003E5A8D" w:rsidRPr="00E23F3D" w:rsidRDefault="003E5A8D" w:rsidP="008F6FB9">
            <w:pPr>
              <w:spacing w:after="0"/>
              <w:rPr>
                <w:sz w:val="24"/>
                <w:szCs w:val="24"/>
                <w:lang w:val="es-ES"/>
              </w:rPr>
            </w:pPr>
            <w:r w:rsidRPr="00E23F3D">
              <w:rPr>
                <w:b/>
                <w:sz w:val="24"/>
                <w:szCs w:val="24"/>
                <w:lang w:val="es-ES"/>
              </w:rPr>
              <w:t>Teléfono celular:</w:t>
            </w:r>
            <w:r w:rsidR="00535433" w:rsidRPr="00E23F3D">
              <w:rPr>
                <w:sz w:val="24"/>
                <w:szCs w:val="24"/>
                <w:lang w:val="es-ES"/>
              </w:rPr>
              <w:t xml:space="preserve"> </w:t>
            </w:r>
            <w:r w:rsidR="0054060A">
              <w:rPr>
                <w:sz w:val="24"/>
                <w:szCs w:val="24"/>
                <w:lang w:val="es-ES"/>
              </w:rPr>
              <w:t>986 142 136</w:t>
            </w:r>
          </w:p>
        </w:tc>
      </w:tr>
      <w:tr w:rsidR="003E5A8D"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426418" w:rsidP="008F6FB9">
            <w:pPr>
              <w:spacing w:after="0"/>
              <w:rPr>
                <w:b/>
                <w:bCs/>
                <w:color w:val="FFFFFF"/>
                <w:sz w:val="24"/>
                <w:szCs w:val="24"/>
                <w:lang w:val="es-ES"/>
              </w:rPr>
            </w:pPr>
            <w:r w:rsidRPr="00E23F3D">
              <w:rPr>
                <w:b/>
                <w:bCs/>
                <w:color w:val="FFFFFF"/>
                <w:sz w:val="24"/>
                <w:szCs w:val="24"/>
                <w:lang w:val="es-ES"/>
              </w:rPr>
              <w:t>Sector</w:t>
            </w:r>
            <w:r w:rsidR="003E5A8D" w:rsidRPr="00E23F3D">
              <w:rPr>
                <w:b/>
                <w:bCs/>
                <w:color w:val="FFFFFF"/>
                <w:sz w:val="24"/>
                <w:szCs w:val="24"/>
                <w:lang w:val="es-ES"/>
              </w:rPr>
              <w:t xml:space="preserve"> Contraparte del Gobierno y contacto</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426418" w:rsidP="008F6FB9">
            <w:pPr>
              <w:spacing w:after="0"/>
              <w:rPr>
                <w:sz w:val="24"/>
                <w:szCs w:val="24"/>
                <w:lang w:val="es-ES"/>
              </w:rPr>
            </w:pPr>
            <w:r w:rsidRPr="00E23F3D">
              <w:rPr>
                <w:b/>
                <w:sz w:val="24"/>
                <w:szCs w:val="24"/>
                <w:lang w:val="es-ES"/>
              </w:rPr>
              <w:t>Sector</w:t>
            </w:r>
            <w:r w:rsidR="003E5A8D" w:rsidRPr="00E23F3D">
              <w:rPr>
                <w:b/>
                <w:sz w:val="24"/>
                <w:szCs w:val="24"/>
                <w:lang w:val="es-ES"/>
              </w:rPr>
              <w:t>:</w:t>
            </w:r>
            <w:r w:rsidR="00535433" w:rsidRPr="00E23F3D">
              <w:rPr>
                <w:sz w:val="24"/>
                <w:szCs w:val="24"/>
                <w:lang w:val="es-ES"/>
              </w:rPr>
              <w:t xml:space="preserve"> Ministerio de Vivienda</w:t>
            </w:r>
            <w:r w:rsidR="00742B61" w:rsidRPr="00E23F3D">
              <w:rPr>
                <w:sz w:val="24"/>
                <w:szCs w:val="24"/>
                <w:lang w:val="es-ES"/>
              </w:rPr>
              <w:t>,</w:t>
            </w:r>
            <w:r w:rsidR="00535433" w:rsidRPr="00E23F3D">
              <w:rPr>
                <w:sz w:val="24"/>
                <w:szCs w:val="24"/>
                <w:lang w:val="es-ES"/>
              </w:rPr>
              <w:t xml:space="preserve"> Construcción</w:t>
            </w:r>
            <w:r w:rsidR="00742B61" w:rsidRPr="00E23F3D">
              <w:rPr>
                <w:sz w:val="24"/>
                <w:szCs w:val="24"/>
                <w:lang w:val="es-ES"/>
              </w:rPr>
              <w:t xml:space="preserve"> y Saneamiento</w:t>
            </w:r>
          </w:p>
          <w:p w:rsidR="003E5A8D" w:rsidRPr="00E23F3D" w:rsidRDefault="003E5A8D" w:rsidP="008F6FB9">
            <w:pPr>
              <w:spacing w:after="0"/>
              <w:rPr>
                <w:sz w:val="24"/>
                <w:szCs w:val="24"/>
                <w:lang w:val="es-ES"/>
              </w:rPr>
            </w:pPr>
            <w:r w:rsidRPr="00E23F3D">
              <w:rPr>
                <w:b/>
                <w:sz w:val="24"/>
                <w:szCs w:val="24"/>
                <w:lang w:val="es-ES"/>
              </w:rPr>
              <w:t>Nombre:</w:t>
            </w:r>
            <w:r w:rsidR="00535433" w:rsidRPr="00E23F3D">
              <w:rPr>
                <w:sz w:val="24"/>
                <w:szCs w:val="24"/>
                <w:lang w:val="es-ES"/>
              </w:rPr>
              <w:t xml:space="preserve"> </w:t>
            </w:r>
            <w:r w:rsidR="00426418" w:rsidRPr="00E23F3D">
              <w:rPr>
                <w:sz w:val="24"/>
                <w:szCs w:val="24"/>
                <w:lang w:val="es-ES"/>
              </w:rPr>
              <w:t>Pedro</w:t>
            </w:r>
          </w:p>
          <w:p w:rsidR="003E5A8D" w:rsidRPr="00E23F3D" w:rsidRDefault="003E5A8D" w:rsidP="008F6FB9">
            <w:pPr>
              <w:spacing w:after="0"/>
              <w:rPr>
                <w:sz w:val="24"/>
                <w:szCs w:val="24"/>
                <w:lang w:val="es-ES"/>
              </w:rPr>
            </w:pPr>
            <w:r w:rsidRPr="00E23F3D">
              <w:rPr>
                <w:b/>
                <w:sz w:val="24"/>
                <w:szCs w:val="24"/>
                <w:lang w:val="es-ES"/>
              </w:rPr>
              <w:t>Correo electrónico:</w:t>
            </w:r>
            <w:r w:rsidR="00535433" w:rsidRPr="00E23F3D">
              <w:rPr>
                <w:sz w:val="24"/>
                <w:szCs w:val="24"/>
                <w:lang w:val="es-ES"/>
              </w:rPr>
              <w:t xml:space="preserve"> </w:t>
            </w:r>
          </w:p>
          <w:p w:rsidR="003E5A8D" w:rsidRPr="00E23F3D" w:rsidRDefault="003E5A8D" w:rsidP="008F6FB9">
            <w:pPr>
              <w:spacing w:after="0"/>
              <w:rPr>
                <w:sz w:val="24"/>
                <w:szCs w:val="24"/>
                <w:lang w:val="es-ES"/>
              </w:rPr>
            </w:pPr>
            <w:r w:rsidRPr="00E23F3D">
              <w:rPr>
                <w:b/>
                <w:sz w:val="24"/>
                <w:szCs w:val="24"/>
                <w:lang w:val="es-ES"/>
              </w:rPr>
              <w:t>Teléfono celular:</w:t>
            </w:r>
            <w:r w:rsidR="00535433" w:rsidRPr="00E23F3D">
              <w:rPr>
                <w:sz w:val="24"/>
                <w:szCs w:val="24"/>
                <w:lang w:val="es-ES"/>
              </w:rPr>
              <w:t xml:space="preserve"> </w:t>
            </w:r>
          </w:p>
        </w:tc>
      </w:tr>
      <w:tr w:rsidR="003E5A8D" w:rsidRPr="00761066"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426418" w:rsidP="008F6FB9">
            <w:pPr>
              <w:spacing w:after="0"/>
              <w:rPr>
                <w:color w:val="FFFFFF"/>
                <w:sz w:val="24"/>
                <w:szCs w:val="24"/>
                <w:lang w:val="es-ES"/>
              </w:rPr>
            </w:pPr>
            <w:r w:rsidRPr="00E23F3D">
              <w:rPr>
                <w:b/>
                <w:bCs/>
                <w:color w:val="FFFFFF"/>
                <w:sz w:val="24"/>
                <w:szCs w:val="24"/>
                <w:lang w:val="es-ES"/>
              </w:rPr>
              <w:t>Co-líder</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54060A" w:rsidP="00426418">
            <w:pPr>
              <w:spacing w:after="0"/>
              <w:rPr>
                <w:sz w:val="24"/>
                <w:szCs w:val="24"/>
                <w:lang w:val="es-ES"/>
              </w:rPr>
            </w:pPr>
            <w:r>
              <w:rPr>
                <w:sz w:val="24"/>
                <w:szCs w:val="24"/>
                <w:lang w:val="es-ES_tradnl"/>
              </w:rPr>
              <w:t>Care Peru</w:t>
            </w:r>
          </w:p>
        </w:tc>
      </w:tr>
      <w:tr w:rsidR="003E5A8D"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3E5A8D" w:rsidP="008F6FB9">
            <w:pPr>
              <w:spacing w:after="0"/>
              <w:rPr>
                <w:color w:val="FFFFFF"/>
                <w:sz w:val="24"/>
                <w:szCs w:val="24"/>
                <w:lang w:val="es-ES"/>
              </w:rPr>
            </w:pPr>
            <w:r w:rsidRPr="00E23F3D">
              <w:rPr>
                <w:b/>
                <w:bCs/>
                <w:color w:val="FFFFFF"/>
                <w:sz w:val="24"/>
                <w:szCs w:val="24"/>
                <w:lang w:val="es-ES"/>
              </w:rPr>
              <w:t xml:space="preserve">Grupo de Expertos en Asesoramiento Estratégico </w:t>
            </w:r>
          </w:p>
          <w:p w:rsidR="003E5A8D" w:rsidRPr="00E23F3D" w:rsidRDefault="003E5A8D" w:rsidP="009F5839">
            <w:pPr>
              <w:spacing w:after="0"/>
              <w:rPr>
                <w:color w:val="FFFFFF"/>
                <w:sz w:val="24"/>
                <w:szCs w:val="24"/>
                <w:lang w:val="es-ES"/>
              </w:rPr>
            </w:pPr>
            <w:r w:rsidRPr="00E23F3D">
              <w:rPr>
                <w:b/>
                <w:bCs/>
                <w:color w:val="FFFFFF"/>
                <w:sz w:val="24"/>
                <w:szCs w:val="24"/>
                <w:lang w:val="es-ES"/>
              </w:rPr>
              <w:t>(SAG) - Agencias</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3E5A8D" w:rsidRPr="00E23F3D" w:rsidRDefault="009F5839" w:rsidP="008F6FB9">
            <w:pPr>
              <w:spacing w:after="0"/>
              <w:rPr>
                <w:sz w:val="24"/>
                <w:szCs w:val="24"/>
                <w:lang w:val="es-ES"/>
              </w:rPr>
            </w:pPr>
            <w:r w:rsidRPr="00E23F3D">
              <w:rPr>
                <w:sz w:val="24"/>
                <w:szCs w:val="24"/>
                <w:lang w:val="es-ES"/>
              </w:rPr>
              <w:t>Federación Internacional de Sociedades de la Cruz Roja y la Media Luna Roja (FICR)</w:t>
            </w:r>
          </w:p>
          <w:p w:rsidR="009F5839" w:rsidRPr="00E23F3D" w:rsidRDefault="009F5839" w:rsidP="008F6FB9">
            <w:pPr>
              <w:spacing w:after="0"/>
              <w:rPr>
                <w:sz w:val="24"/>
                <w:szCs w:val="24"/>
                <w:lang w:val="es-ES"/>
              </w:rPr>
            </w:pPr>
            <w:r w:rsidRPr="00E23F3D">
              <w:rPr>
                <w:sz w:val="24"/>
                <w:szCs w:val="24"/>
                <w:lang w:val="es-ES"/>
              </w:rPr>
              <w:t>Ministerio de Vivienda</w:t>
            </w:r>
            <w:r w:rsidR="00926C83" w:rsidRPr="00E23F3D">
              <w:rPr>
                <w:sz w:val="24"/>
                <w:szCs w:val="24"/>
                <w:lang w:val="es-ES"/>
              </w:rPr>
              <w:t>,</w:t>
            </w:r>
            <w:r w:rsidRPr="00E23F3D">
              <w:rPr>
                <w:sz w:val="24"/>
                <w:szCs w:val="24"/>
                <w:lang w:val="es-ES"/>
              </w:rPr>
              <w:t xml:space="preserve"> Construcción</w:t>
            </w:r>
            <w:r w:rsidR="00926C83" w:rsidRPr="00E23F3D">
              <w:rPr>
                <w:sz w:val="24"/>
                <w:szCs w:val="24"/>
                <w:lang w:val="es-ES"/>
              </w:rPr>
              <w:t xml:space="preserve"> y Saneamiento</w:t>
            </w:r>
          </w:p>
          <w:p w:rsidR="009F5839" w:rsidRPr="00E23F3D" w:rsidRDefault="009F5839" w:rsidP="008F6FB9">
            <w:pPr>
              <w:spacing w:after="0"/>
              <w:rPr>
                <w:sz w:val="24"/>
                <w:szCs w:val="24"/>
                <w:lang w:val="es-ES"/>
              </w:rPr>
            </w:pPr>
            <w:r w:rsidRPr="00E23F3D">
              <w:rPr>
                <w:sz w:val="24"/>
                <w:szCs w:val="24"/>
                <w:lang w:val="es-ES"/>
              </w:rPr>
              <w:t>Instituto de Defensa Civil (INDECI)</w:t>
            </w:r>
          </w:p>
          <w:p w:rsidR="00B95277" w:rsidRPr="00E23F3D" w:rsidRDefault="00B95277" w:rsidP="008F6FB9">
            <w:pPr>
              <w:spacing w:after="0"/>
              <w:rPr>
                <w:sz w:val="24"/>
                <w:szCs w:val="24"/>
                <w:lang w:val="es-ES"/>
              </w:rPr>
            </w:pPr>
            <w:r w:rsidRPr="00E23F3D">
              <w:rPr>
                <w:sz w:val="24"/>
                <w:szCs w:val="24"/>
                <w:lang w:val="es-ES"/>
              </w:rPr>
              <w:t>Centro Nacional de Estimación, Prevención y Reducción de Riesgos de Desastres (CENEPRED)</w:t>
            </w:r>
          </w:p>
          <w:p w:rsidR="009C4E83" w:rsidRPr="00E23F3D" w:rsidRDefault="009C4E83" w:rsidP="008F6FB9">
            <w:pPr>
              <w:spacing w:after="0"/>
              <w:rPr>
                <w:sz w:val="24"/>
                <w:szCs w:val="24"/>
                <w:lang w:val="es-ES"/>
              </w:rPr>
            </w:pPr>
            <w:r w:rsidRPr="00E23F3D">
              <w:rPr>
                <w:sz w:val="24"/>
                <w:szCs w:val="24"/>
                <w:lang w:val="es-ES"/>
              </w:rPr>
              <w:t>Centro de Estudios y Prevención de Desastres (PREDES)</w:t>
            </w:r>
          </w:p>
          <w:p w:rsidR="009F5839" w:rsidRPr="00E23F3D" w:rsidRDefault="009F5839" w:rsidP="008F6FB9">
            <w:pPr>
              <w:spacing w:after="0"/>
              <w:rPr>
                <w:sz w:val="24"/>
                <w:szCs w:val="24"/>
                <w:lang w:val="es-ES"/>
              </w:rPr>
            </w:pPr>
          </w:p>
        </w:tc>
      </w:tr>
      <w:tr w:rsidR="003E5A8D" w:rsidRPr="00277E55" w:rsidTr="00B95277">
        <w:tc>
          <w:tcPr>
            <w:tcW w:w="2691" w:type="dxa"/>
            <w:tcBorders>
              <w:top w:val="single" w:sz="8" w:space="0" w:color="FFFFFF"/>
              <w:left w:val="single" w:sz="8" w:space="0" w:color="FFFFFF"/>
              <w:bottom w:val="single" w:sz="8" w:space="0" w:color="FFFFFF"/>
              <w:right w:val="single" w:sz="8" w:space="0" w:color="FFFFFF"/>
            </w:tcBorders>
            <w:shd w:val="clear" w:color="auto" w:fill="C45911" w:themeFill="accent2" w:themeFillShade="BF"/>
            <w:tcMar>
              <w:top w:w="15" w:type="dxa"/>
              <w:left w:w="108" w:type="dxa"/>
              <w:bottom w:w="0" w:type="dxa"/>
              <w:right w:w="108" w:type="dxa"/>
            </w:tcMar>
            <w:vAlign w:val="center"/>
          </w:tcPr>
          <w:p w:rsidR="003E5A8D" w:rsidRPr="00E23F3D" w:rsidRDefault="003E5A8D" w:rsidP="008F6FB9">
            <w:pPr>
              <w:spacing w:after="0"/>
              <w:rPr>
                <w:b/>
                <w:bCs/>
                <w:color w:val="FFFFFF"/>
                <w:sz w:val="24"/>
                <w:szCs w:val="24"/>
                <w:lang w:val="es-ES"/>
              </w:rPr>
            </w:pPr>
            <w:r w:rsidRPr="00E23F3D">
              <w:rPr>
                <w:b/>
                <w:bCs/>
                <w:color w:val="FFFFFF"/>
                <w:sz w:val="24"/>
                <w:szCs w:val="24"/>
                <w:lang w:val="es-ES"/>
              </w:rPr>
              <w:t xml:space="preserve">Miembros socios del Grupo Temático de Apoyo </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vAlign w:val="center"/>
          </w:tcPr>
          <w:p w:rsidR="00B95277" w:rsidRPr="00E23F3D" w:rsidRDefault="009F5839" w:rsidP="00B95277">
            <w:pPr>
              <w:spacing w:after="0"/>
              <w:rPr>
                <w:sz w:val="24"/>
                <w:szCs w:val="24"/>
                <w:lang w:val="es-ES_tradnl"/>
              </w:rPr>
            </w:pPr>
            <w:r w:rsidRPr="00E23F3D">
              <w:rPr>
                <w:sz w:val="24"/>
                <w:szCs w:val="24"/>
                <w:lang w:val="es-ES_tradnl"/>
              </w:rPr>
              <w:t>COFOPRI</w:t>
            </w:r>
          </w:p>
          <w:p w:rsidR="00B95277" w:rsidRPr="00E23F3D" w:rsidRDefault="009F5839" w:rsidP="00B95277">
            <w:pPr>
              <w:spacing w:after="0"/>
              <w:rPr>
                <w:sz w:val="24"/>
                <w:szCs w:val="24"/>
                <w:lang w:val="es-ES_tradnl"/>
              </w:rPr>
            </w:pPr>
            <w:r w:rsidRPr="00E23F3D">
              <w:rPr>
                <w:sz w:val="24"/>
                <w:szCs w:val="24"/>
                <w:lang w:val="es-ES_tradnl"/>
              </w:rPr>
              <w:t>OIM</w:t>
            </w:r>
          </w:p>
          <w:p w:rsidR="00B95277" w:rsidRPr="00E23F3D" w:rsidRDefault="009F5839" w:rsidP="00B95277">
            <w:pPr>
              <w:spacing w:after="0"/>
              <w:rPr>
                <w:sz w:val="24"/>
                <w:szCs w:val="24"/>
                <w:lang w:val="es-ES_tradnl"/>
              </w:rPr>
            </w:pPr>
            <w:r w:rsidRPr="00E23F3D">
              <w:rPr>
                <w:sz w:val="24"/>
                <w:szCs w:val="24"/>
                <w:lang w:val="es-ES_tradnl"/>
              </w:rPr>
              <w:t>Caritas</w:t>
            </w:r>
            <w:r w:rsidR="00B95277" w:rsidRPr="00E23F3D">
              <w:rPr>
                <w:sz w:val="24"/>
                <w:szCs w:val="24"/>
                <w:lang w:val="es-ES_tradnl"/>
              </w:rPr>
              <w:t xml:space="preserve"> del Perú</w:t>
            </w:r>
          </w:p>
          <w:p w:rsidR="00B95277" w:rsidRPr="00E23F3D" w:rsidRDefault="009F5839" w:rsidP="00B95277">
            <w:pPr>
              <w:spacing w:after="0"/>
              <w:rPr>
                <w:sz w:val="24"/>
                <w:szCs w:val="24"/>
                <w:lang w:val="es-ES_tradnl"/>
              </w:rPr>
            </w:pPr>
            <w:r w:rsidRPr="00E23F3D">
              <w:rPr>
                <w:sz w:val="24"/>
                <w:szCs w:val="24"/>
                <w:lang w:val="es-ES_tradnl"/>
              </w:rPr>
              <w:t>Soluciones Pr</w:t>
            </w:r>
            <w:r w:rsidR="00B95277" w:rsidRPr="00E23F3D">
              <w:rPr>
                <w:sz w:val="24"/>
                <w:szCs w:val="24"/>
                <w:lang w:val="es-ES_tradnl"/>
              </w:rPr>
              <w:t>á</w:t>
            </w:r>
            <w:r w:rsidRPr="00E23F3D">
              <w:rPr>
                <w:sz w:val="24"/>
                <w:szCs w:val="24"/>
                <w:lang w:val="es-ES_tradnl"/>
              </w:rPr>
              <w:t>cticas</w:t>
            </w:r>
          </w:p>
          <w:p w:rsidR="00B95277" w:rsidRPr="00E23F3D" w:rsidRDefault="009F5839" w:rsidP="00B95277">
            <w:pPr>
              <w:spacing w:after="0"/>
              <w:rPr>
                <w:sz w:val="24"/>
                <w:szCs w:val="24"/>
                <w:lang w:val="es-ES_tradnl"/>
              </w:rPr>
            </w:pPr>
            <w:r w:rsidRPr="00E23F3D">
              <w:rPr>
                <w:sz w:val="24"/>
                <w:szCs w:val="24"/>
                <w:lang w:val="es-ES_tradnl"/>
              </w:rPr>
              <w:t>Visión Mundial</w:t>
            </w:r>
          </w:p>
          <w:p w:rsidR="00B95277" w:rsidRPr="00E23F3D" w:rsidRDefault="009F5839" w:rsidP="00B95277">
            <w:pPr>
              <w:spacing w:after="0"/>
              <w:rPr>
                <w:sz w:val="24"/>
                <w:szCs w:val="24"/>
                <w:lang w:val="es-ES_tradnl"/>
              </w:rPr>
            </w:pPr>
            <w:r w:rsidRPr="00E23F3D">
              <w:rPr>
                <w:sz w:val="24"/>
                <w:szCs w:val="24"/>
                <w:lang w:val="es-ES_tradnl"/>
              </w:rPr>
              <w:t xml:space="preserve">Ministerio </w:t>
            </w:r>
            <w:r w:rsidR="00B95277" w:rsidRPr="00E23F3D">
              <w:rPr>
                <w:sz w:val="24"/>
                <w:szCs w:val="24"/>
                <w:lang w:val="es-ES_tradnl"/>
              </w:rPr>
              <w:t>del A</w:t>
            </w:r>
            <w:r w:rsidRPr="00E23F3D">
              <w:rPr>
                <w:sz w:val="24"/>
                <w:szCs w:val="24"/>
                <w:lang w:val="es-ES_tradnl"/>
              </w:rPr>
              <w:t>mbiente</w:t>
            </w:r>
          </w:p>
          <w:p w:rsidR="00B95277" w:rsidRPr="00E23F3D" w:rsidRDefault="009F5839" w:rsidP="00B95277">
            <w:pPr>
              <w:spacing w:after="0"/>
              <w:rPr>
                <w:sz w:val="24"/>
                <w:szCs w:val="24"/>
                <w:lang w:val="es-ES_tradnl"/>
              </w:rPr>
            </w:pPr>
            <w:r w:rsidRPr="00E23F3D">
              <w:rPr>
                <w:sz w:val="24"/>
                <w:szCs w:val="24"/>
                <w:lang w:val="es-ES_tradnl"/>
              </w:rPr>
              <w:lastRenderedPageBreak/>
              <w:t xml:space="preserve">Ministerio de </w:t>
            </w:r>
            <w:r w:rsidR="00B95277" w:rsidRPr="00E23F3D">
              <w:rPr>
                <w:sz w:val="24"/>
                <w:szCs w:val="24"/>
                <w:lang w:val="es-ES_tradnl"/>
              </w:rPr>
              <w:t>E</w:t>
            </w:r>
            <w:r w:rsidRPr="00E23F3D">
              <w:rPr>
                <w:sz w:val="24"/>
                <w:szCs w:val="24"/>
                <w:lang w:val="es-ES_tradnl"/>
              </w:rPr>
              <w:t xml:space="preserve">nergía y </w:t>
            </w:r>
            <w:r w:rsidR="00B95277" w:rsidRPr="00E23F3D">
              <w:rPr>
                <w:sz w:val="24"/>
                <w:szCs w:val="24"/>
                <w:lang w:val="es-ES_tradnl"/>
              </w:rPr>
              <w:t>M</w:t>
            </w:r>
            <w:r w:rsidRPr="00E23F3D">
              <w:rPr>
                <w:sz w:val="24"/>
                <w:szCs w:val="24"/>
                <w:lang w:val="es-ES_tradnl"/>
              </w:rPr>
              <w:t>inas</w:t>
            </w:r>
          </w:p>
          <w:p w:rsidR="009C4E83" w:rsidRPr="00E23F3D" w:rsidRDefault="009F5839" w:rsidP="009C4E83">
            <w:pPr>
              <w:spacing w:after="0"/>
              <w:rPr>
                <w:sz w:val="24"/>
                <w:szCs w:val="24"/>
                <w:lang w:val="es-ES_tradnl"/>
              </w:rPr>
            </w:pPr>
            <w:r w:rsidRPr="00E23F3D">
              <w:rPr>
                <w:sz w:val="24"/>
                <w:szCs w:val="24"/>
                <w:lang w:val="es-ES_tradnl"/>
              </w:rPr>
              <w:t>Colegio</w:t>
            </w:r>
            <w:r w:rsidR="009C4E83" w:rsidRPr="00E23F3D">
              <w:rPr>
                <w:sz w:val="24"/>
                <w:szCs w:val="24"/>
                <w:lang w:val="es-ES_tradnl"/>
              </w:rPr>
              <w:t xml:space="preserve"> de</w:t>
            </w:r>
            <w:r w:rsidRPr="00E23F3D">
              <w:rPr>
                <w:sz w:val="24"/>
                <w:szCs w:val="24"/>
                <w:lang w:val="es-ES_tradnl"/>
              </w:rPr>
              <w:t xml:space="preserve">: Arquitectos e </w:t>
            </w:r>
            <w:r w:rsidR="009C4E83" w:rsidRPr="00E23F3D">
              <w:rPr>
                <w:sz w:val="24"/>
                <w:szCs w:val="24"/>
                <w:lang w:val="es-ES_tradnl"/>
              </w:rPr>
              <w:t>I</w:t>
            </w:r>
            <w:r w:rsidRPr="00E23F3D">
              <w:rPr>
                <w:sz w:val="24"/>
                <w:szCs w:val="24"/>
                <w:lang w:val="es-ES_tradnl"/>
              </w:rPr>
              <w:t>ngenieros</w:t>
            </w:r>
          </w:p>
          <w:p w:rsidR="009C4E83" w:rsidRPr="00E23F3D" w:rsidRDefault="009C4E83" w:rsidP="009C4E83">
            <w:pPr>
              <w:spacing w:after="0"/>
              <w:rPr>
                <w:sz w:val="24"/>
                <w:szCs w:val="24"/>
                <w:lang w:val="es-ES_tradnl"/>
              </w:rPr>
            </w:pPr>
            <w:r w:rsidRPr="00E23F3D">
              <w:rPr>
                <w:sz w:val="24"/>
                <w:szCs w:val="24"/>
                <w:lang w:val="es-ES_tradnl"/>
              </w:rPr>
              <w:t>Universidades: Pontificia Universidad Católica del Perú, Universidad Nacional de Ingeniería</w:t>
            </w:r>
          </w:p>
          <w:p w:rsidR="009C4E83" w:rsidRPr="00E23F3D" w:rsidRDefault="009C4E83" w:rsidP="009C4E83">
            <w:pPr>
              <w:spacing w:after="0"/>
              <w:rPr>
                <w:sz w:val="24"/>
                <w:szCs w:val="24"/>
                <w:lang w:val="es-ES_tradnl"/>
              </w:rPr>
            </w:pPr>
            <w:r w:rsidRPr="00E23F3D">
              <w:rPr>
                <w:sz w:val="24"/>
                <w:szCs w:val="24"/>
                <w:lang w:val="es-ES_tradnl"/>
              </w:rPr>
              <w:t>Centro de Investigación, Documentación y Asesoría Poblacional (</w:t>
            </w:r>
            <w:r w:rsidR="009F5839" w:rsidRPr="00E23F3D">
              <w:rPr>
                <w:sz w:val="24"/>
                <w:szCs w:val="24"/>
                <w:lang w:val="es-ES_tradnl"/>
              </w:rPr>
              <w:t>CIDAP</w:t>
            </w:r>
            <w:r w:rsidRPr="00E23F3D">
              <w:rPr>
                <w:sz w:val="24"/>
                <w:szCs w:val="24"/>
                <w:lang w:val="es-ES_tradnl"/>
              </w:rPr>
              <w:t>)</w:t>
            </w:r>
          </w:p>
          <w:p w:rsidR="003E5A8D" w:rsidRPr="00E23F3D" w:rsidRDefault="009F5839" w:rsidP="00426418">
            <w:pPr>
              <w:spacing w:after="0"/>
              <w:rPr>
                <w:sz w:val="24"/>
                <w:szCs w:val="24"/>
                <w:lang w:val="es-ES"/>
              </w:rPr>
            </w:pPr>
            <w:r w:rsidRPr="00E23F3D">
              <w:rPr>
                <w:sz w:val="24"/>
                <w:szCs w:val="24"/>
                <w:lang w:val="es-ES_tradnl"/>
              </w:rPr>
              <w:t>OFDA/USAID, JICA, ASOCEM, CAPECO, Red Empresarial.</w:t>
            </w:r>
          </w:p>
        </w:tc>
      </w:tr>
      <w:tr w:rsidR="003E5A8D" w:rsidRPr="00761066" w:rsidTr="00B95277">
        <w:tc>
          <w:tcPr>
            <w:tcW w:w="2691" w:type="dxa"/>
            <w:vMerge w:val="restart"/>
            <w:tcBorders>
              <w:top w:val="single" w:sz="8" w:space="0" w:color="FFFFFF"/>
              <w:left w:val="single" w:sz="8" w:space="0" w:color="FFFFFF"/>
              <w:right w:val="single" w:sz="8" w:space="0" w:color="FFFFFF"/>
            </w:tcBorders>
            <w:shd w:val="clear" w:color="auto" w:fill="C45911" w:themeFill="accent2" w:themeFillShade="BF"/>
            <w:tcMar>
              <w:top w:w="15" w:type="dxa"/>
              <w:left w:w="108" w:type="dxa"/>
              <w:bottom w:w="0" w:type="dxa"/>
              <w:right w:w="108" w:type="dxa"/>
            </w:tcMar>
          </w:tcPr>
          <w:p w:rsidR="003E5A8D" w:rsidRPr="00E23F3D" w:rsidRDefault="003E5A8D" w:rsidP="008F6FB9">
            <w:pPr>
              <w:spacing w:after="0"/>
              <w:rPr>
                <w:color w:val="FFFFFF"/>
                <w:sz w:val="24"/>
                <w:szCs w:val="24"/>
                <w:lang w:val="es-ES"/>
              </w:rPr>
            </w:pPr>
            <w:r w:rsidRPr="00E23F3D">
              <w:rPr>
                <w:b/>
                <w:bCs/>
                <w:color w:val="FFFFFF"/>
                <w:sz w:val="24"/>
                <w:szCs w:val="24"/>
                <w:lang w:val="es-ES"/>
              </w:rPr>
              <w:lastRenderedPageBreak/>
              <w:t xml:space="preserve">Grupos Técnicos de Trabajo Relevantes </w:t>
            </w:r>
          </w:p>
          <w:p w:rsidR="003E5A8D" w:rsidRPr="00E23F3D" w:rsidRDefault="003E5A8D" w:rsidP="008F6FB9">
            <w:pPr>
              <w:spacing w:after="0"/>
              <w:rPr>
                <w:color w:val="FFFFFF"/>
                <w:sz w:val="24"/>
                <w:szCs w:val="24"/>
                <w:lang w:val="es-ES"/>
              </w:rPr>
            </w:pPr>
            <w:r w:rsidRPr="00E23F3D">
              <w:rPr>
                <w:b/>
                <w:bCs/>
                <w:color w:val="FFFFFF"/>
                <w:sz w:val="24"/>
                <w:szCs w:val="24"/>
                <w:lang w:val="es-ES"/>
              </w:rPr>
              <w:t>(</w:t>
            </w:r>
            <w:proofErr w:type="spellStart"/>
            <w:r w:rsidRPr="00E23F3D">
              <w:rPr>
                <w:b/>
                <w:bCs/>
                <w:color w:val="FFFFFF"/>
                <w:sz w:val="24"/>
                <w:szCs w:val="24"/>
                <w:lang w:val="es-ES"/>
              </w:rPr>
              <w:t>TWiGs</w:t>
            </w:r>
            <w:proofErr w:type="spellEnd"/>
            <w:r w:rsidR="00426418" w:rsidRPr="00E23F3D">
              <w:rPr>
                <w:b/>
                <w:bCs/>
                <w:color w:val="FFFFFF"/>
                <w:sz w:val="24"/>
                <w:szCs w:val="24"/>
                <w:lang w:val="es-ES"/>
              </w:rPr>
              <w:t>)</w:t>
            </w:r>
          </w:p>
          <w:p w:rsidR="003E5A8D" w:rsidRPr="00E23F3D" w:rsidRDefault="003E5A8D" w:rsidP="008F6FB9">
            <w:pPr>
              <w:spacing w:after="0"/>
              <w:rPr>
                <w:color w:val="FFFFFF"/>
                <w:sz w:val="24"/>
                <w:szCs w:val="24"/>
                <w:lang w:val="es-ES"/>
              </w:rPr>
            </w:pPr>
            <w:r w:rsidRPr="00E23F3D">
              <w:rPr>
                <w:b/>
                <w:bCs/>
                <w:color w:val="FFFFFF"/>
                <w:sz w:val="24"/>
                <w:szCs w:val="24"/>
                <w:lang w:val="es-ES"/>
              </w:rPr>
              <w:t> </w:t>
            </w:r>
          </w:p>
          <w:p w:rsidR="003E5A8D" w:rsidRPr="00E23F3D" w:rsidRDefault="003E5A8D" w:rsidP="008F6FB9">
            <w:pPr>
              <w:spacing w:after="0"/>
              <w:rPr>
                <w:color w:val="FFFFFF"/>
                <w:sz w:val="24"/>
                <w:szCs w:val="24"/>
                <w:lang w:val="es-ES"/>
              </w:rPr>
            </w:pPr>
            <w:r w:rsidRPr="00E23F3D">
              <w:rPr>
                <w:b/>
                <w:bCs/>
                <w:color w:val="FFFFFF"/>
                <w:sz w:val="24"/>
                <w:szCs w:val="24"/>
                <w:lang w:val="es-ES"/>
              </w:rPr>
              <w:t> </w:t>
            </w: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tcPr>
          <w:p w:rsidR="003E5A8D" w:rsidRPr="00E23F3D" w:rsidRDefault="003E5A8D" w:rsidP="00761066">
            <w:pPr>
              <w:spacing w:after="0"/>
              <w:jc w:val="both"/>
              <w:rPr>
                <w:sz w:val="24"/>
                <w:szCs w:val="24"/>
                <w:lang w:val="es-ES"/>
              </w:rPr>
            </w:pPr>
            <w:r w:rsidRPr="00E23F3D">
              <w:rPr>
                <w:iCs/>
                <w:sz w:val="24"/>
                <w:szCs w:val="24"/>
                <w:lang w:val="es-ES"/>
              </w:rPr>
              <w:t xml:space="preserve">El coordinador del grupo, </w:t>
            </w:r>
            <w:r w:rsidR="00761066" w:rsidRPr="00E23F3D">
              <w:rPr>
                <w:iCs/>
                <w:sz w:val="24"/>
                <w:szCs w:val="24"/>
                <w:lang w:val="es-ES"/>
              </w:rPr>
              <w:t>brinda asesoramiento</w:t>
            </w:r>
            <w:r w:rsidRPr="00E23F3D">
              <w:rPr>
                <w:iCs/>
                <w:sz w:val="24"/>
                <w:szCs w:val="24"/>
                <w:lang w:val="es-ES"/>
              </w:rPr>
              <w:t xml:space="preserve"> técnico y convoca las reuniones del grupo de trabajo técnico (TWIG). </w:t>
            </w:r>
            <w:r w:rsidR="00761066" w:rsidRPr="00E23F3D">
              <w:rPr>
                <w:iCs/>
                <w:sz w:val="24"/>
                <w:szCs w:val="24"/>
                <w:lang w:val="es-ES"/>
              </w:rPr>
              <w:t>I</w:t>
            </w:r>
            <w:r w:rsidRPr="00E23F3D">
              <w:rPr>
                <w:iCs/>
                <w:sz w:val="24"/>
                <w:szCs w:val="24"/>
                <w:lang w:val="es-ES"/>
              </w:rPr>
              <w:t>nforma al SAG</w:t>
            </w:r>
            <w:r w:rsidR="00761066" w:rsidRPr="00E23F3D">
              <w:rPr>
                <w:iCs/>
                <w:sz w:val="24"/>
                <w:szCs w:val="24"/>
                <w:lang w:val="es-ES"/>
              </w:rPr>
              <w:t>, a los miembros socios y grupos técnicos</w:t>
            </w:r>
            <w:r w:rsidRPr="00E23F3D">
              <w:rPr>
                <w:iCs/>
                <w:sz w:val="24"/>
                <w:szCs w:val="24"/>
                <w:lang w:val="es-ES"/>
              </w:rPr>
              <w:t xml:space="preserve"> acerca del trabajo en marcha y presenta resultados. Se </w:t>
            </w:r>
            <w:r w:rsidR="00761066" w:rsidRPr="00E23F3D">
              <w:rPr>
                <w:iCs/>
                <w:sz w:val="24"/>
                <w:szCs w:val="24"/>
                <w:lang w:val="es-ES"/>
              </w:rPr>
              <w:t>tienen los siguientes grupos técnicos:</w:t>
            </w:r>
            <w:r w:rsidRPr="00E23F3D">
              <w:rPr>
                <w:iCs/>
                <w:sz w:val="24"/>
                <w:szCs w:val="24"/>
                <w:lang w:val="es-ES"/>
              </w:rPr>
              <w:t> </w:t>
            </w:r>
          </w:p>
        </w:tc>
      </w:tr>
      <w:tr w:rsidR="003E5A8D" w:rsidRPr="00277E55" w:rsidTr="00B95277">
        <w:tc>
          <w:tcPr>
            <w:tcW w:w="2691" w:type="dxa"/>
            <w:vMerge/>
            <w:tcBorders>
              <w:left w:val="single" w:sz="8" w:space="0" w:color="FFFFFF"/>
              <w:right w:val="single" w:sz="8" w:space="0" w:color="FFFFFF"/>
            </w:tcBorders>
            <w:shd w:val="clear" w:color="auto" w:fill="C45911" w:themeFill="accent2" w:themeFillShade="BF"/>
            <w:tcMar>
              <w:top w:w="15" w:type="dxa"/>
              <w:left w:w="108" w:type="dxa"/>
              <w:bottom w:w="0" w:type="dxa"/>
              <w:right w:w="108" w:type="dxa"/>
            </w:tcMar>
          </w:tcPr>
          <w:p w:rsidR="003E5A8D" w:rsidRPr="00E23F3D" w:rsidRDefault="003E5A8D" w:rsidP="008F6FB9">
            <w:pPr>
              <w:spacing w:after="0"/>
              <w:rPr>
                <w:color w:val="FFFFFF"/>
                <w:sz w:val="24"/>
                <w:szCs w:val="24"/>
                <w:lang w:val="es-ES"/>
              </w:rPr>
            </w:pPr>
          </w:p>
        </w:tc>
        <w:tc>
          <w:tcPr>
            <w:tcW w:w="7229"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15" w:type="dxa"/>
              <w:left w:w="108" w:type="dxa"/>
              <w:bottom w:w="0" w:type="dxa"/>
              <w:right w:w="108" w:type="dxa"/>
            </w:tcMar>
          </w:tcPr>
          <w:p w:rsidR="00761066"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Estándares Técnicos</w:t>
            </w:r>
          </w:p>
          <w:p w:rsidR="00761066"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Su</w:t>
            </w:r>
            <w:r w:rsidR="00063B40" w:rsidRPr="00E23F3D">
              <w:rPr>
                <w:rFonts w:asciiTheme="minorHAnsi" w:eastAsiaTheme="minorHAnsi" w:hAnsiTheme="minorHAnsi" w:cs="Calibri"/>
                <w:sz w:val="24"/>
                <w:szCs w:val="24"/>
                <w:lang w:val="es-PE"/>
              </w:rPr>
              <w:t>ministro de Materiales</w:t>
            </w:r>
          </w:p>
          <w:p w:rsidR="00426418" w:rsidRPr="00E23F3D" w:rsidRDefault="00426418"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Instalación y manejo de albergues</w:t>
            </w:r>
          </w:p>
          <w:p w:rsidR="00426418"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Recuperación y Reconstrucción</w:t>
            </w:r>
          </w:p>
          <w:p w:rsidR="00426418"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 xml:space="preserve">Seguridad y </w:t>
            </w:r>
            <w:r w:rsidR="00426418" w:rsidRPr="00E23F3D">
              <w:rPr>
                <w:rFonts w:asciiTheme="minorHAnsi" w:eastAsiaTheme="minorHAnsi" w:hAnsiTheme="minorHAnsi" w:cs="Calibri"/>
                <w:sz w:val="24"/>
                <w:szCs w:val="24"/>
                <w:lang w:val="es-PE"/>
              </w:rPr>
              <w:t>Protección de grupos vulnerables</w:t>
            </w:r>
          </w:p>
          <w:p w:rsidR="00761066"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Reducción de Riesgos de Desastres en construcciones más seguras</w:t>
            </w:r>
          </w:p>
          <w:p w:rsidR="00761066"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Zonas peligrosas o zonas no construidas</w:t>
            </w:r>
          </w:p>
          <w:p w:rsidR="00761066" w:rsidRPr="00E23F3D" w:rsidRDefault="00761066" w:rsidP="00761066">
            <w:pPr>
              <w:pStyle w:val="ListParagraph"/>
              <w:numPr>
                <w:ilvl w:val="0"/>
                <w:numId w:val="1"/>
              </w:numPr>
              <w:tabs>
                <w:tab w:val="left" w:pos="452"/>
              </w:tabs>
              <w:autoSpaceDE w:val="0"/>
              <w:autoSpaceDN w:val="0"/>
              <w:adjustRightInd w:val="0"/>
              <w:spacing w:after="0" w:line="240" w:lineRule="auto"/>
              <w:ind w:left="168" w:firstLine="0"/>
              <w:rPr>
                <w:rFonts w:asciiTheme="minorHAnsi" w:eastAsiaTheme="minorHAnsi" w:hAnsiTheme="minorHAnsi" w:cs="Calibri"/>
                <w:sz w:val="24"/>
                <w:szCs w:val="24"/>
                <w:lang w:val="es-PE"/>
              </w:rPr>
            </w:pPr>
            <w:r w:rsidRPr="00E23F3D">
              <w:rPr>
                <w:rFonts w:asciiTheme="minorHAnsi" w:eastAsiaTheme="minorHAnsi" w:hAnsiTheme="minorHAnsi" w:cs="Calibri"/>
                <w:sz w:val="24"/>
                <w:szCs w:val="24"/>
                <w:lang w:val="es-PE"/>
              </w:rPr>
              <w:t>Titulación de Tierras</w:t>
            </w:r>
          </w:p>
          <w:p w:rsidR="003E5A8D" w:rsidRPr="00E23F3D" w:rsidRDefault="00426418" w:rsidP="00761066">
            <w:pPr>
              <w:pStyle w:val="ListParagraph"/>
              <w:numPr>
                <w:ilvl w:val="0"/>
                <w:numId w:val="1"/>
              </w:numPr>
              <w:tabs>
                <w:tab w:val="left" w:pos="452"/>
              </w:tabs>
              <w:spacing w:after="0"/>
              <w:ind w:left="168" w:firstLine="0"/>
              <w:rPr>
                <w:sz w:val="24"/>
                <w:szCs w:val="24"/>
                <w:lang w:val="es-ES"/>
              </w:rPr>
            </w:pPr>
            <w:r w:rsidRPr="00E23F3D">
              <w:rPr>
                <w:rFonts w:asciiTheme="minorHAnsi" w:eastAsiaTheme="minorHAnsi" w:hAnsiTheme="minorHAnsi" w:cs="Calibri"/>
                <w:sz w:val="24"/>
                <w:szCs w:val="24"/>
                <w:lang w:val="es-PE"/>
              </w:rPr>
              <w:t>Re</w:t>
            </w:r>
            <w:r w:rsidR="00761066" w:rsidRPr="00E23F3D">
              <w:rPr>
                <w:rFonts w:asciiTheme="minorHAnsi" w:eastAsiaTheme="minorHAnsi" w:hAnsiTheme="minorHAnsi" w:cs="Calibri"/>
                <w:sz w:val="24"/>
                <w:szCs w:val="24"/>
                <w:lang w:val="es-PE"/>
              </w:rPr>
              <w:t>stablecimiento del contacto entre familiares</w:t>
            </w:r>
            <w:r w:rsidR="003E5A8D" w:rsidRPr="00E23F3D">
              <w:rPr>
                <w:sz w:val="24"/>
                <w:szCs w:val="24"/>
                <w:lang w:val="es-ES"/>
              </w:rPr>
              <w:t> </w:t>
            </w:r>
          </w:p>
        </w:tc>
      </w:tr>
    </w:tbl>
    <w:p w:rsidR="003E5A8D" w:rsidRPr="00950726" w:rsidRDefault="003E5A8D" w:rsidP="003E5A8D">
      <w:pPr>
        <w:spacing w:after="0"/>
        <w:rPr>
          <w:b/>
          <w:color w:val="284353"/>
          <w:lang w:val="es-ES"/>
        </w:rPr>
      </w:pPr>
    </w:p>
    <w:p w:rsidR="001C29F4" w:rsidRPr="00D97B6A" w:rsidRDefault="00A218ED" w:rsidP="00D97B6A">
      <w:pPr>
        <w:pStyle w:val="Heading2"/>
        <w:rPr>
          <w:b/>
          <w:color w:val="FF0000"/>
          <w:lang w:val="es-ES"/>
        </w:rPr>
      </w:pPr>
      <w:r w:rsidRPr="00D97B6A">
        <w:rPr>
          <w:b/>
          <w:color w:val="FF0000"/>
          <w:lang w:val="es-ES"/>
        </w:rPr>
        <w:t xml:space="preserve">CONCEPTO DE </w:t>
      </w:r>
      <w:r w:rsidR="00B70D01" w:rsidRPr="00D97B6A">
        <w:rPr>
          <w:b/>
          <w:color w:val="FF0000"/>
          <w:lang w:val="es-ES"/>
        </w:rPr>
        <w:t>VIVIENDA/</w:t>
      </w:r>
      <w:r w:rsidRPr="00D97B6A">
        <w:rPr>
          <w:b/>
          <w:color w:val="FF0000"/>
          <w:lang w:val="es-ES"/>
        </w:rPr>
        <w:t>ALO</w:t>
      </w:r>
      <w:r w:rsidR="00B70D01" w:rsidRPr="00D97B6A">
        <w:rPr>
          <w:b/>
          <w:color w:val="FF0000"/>
          <w:lang w:val="es-ES"/>
        </w:rPr>
        <w:t>JAMIENTO TEMPORAL</w:t>
      </w:r>
    </w:p>
    <w:p w:rsidR="00B70D01" w:rsidRDefault="00B70D01" w:rsidP="00B70D01">
      <w:pPr>
        <w:autoSpaceDE w:val="0"/>
        <w:autoSpaceDN w:val="0"/>
        <w:adjustRightInd w:val="0"/>
        <w:spacing w:after="0" w:line="240" w:lineRule="auto"/>
        <w:rPr>
          <w:rFonts w:asciiTheme="minorHAnsi" w:eastAsiaTheme="minorHAnsi" w:hAnsiTheme="minorHAnsi" w:cs="Calibri"/>
          <w:lang w:val="es-PE"/>
        </w:rPr>
      </w:pPr>
    </w:p>
    <w:p w:rsidR="00B70D01" w:rsidRPr="00B70D01" w:rsidRDefault="00B70D01" w:rsidP="00B70D01">
      <w:pPr>
        <w:autoSpaceDE w:val="0"/>
        <w:autoSpaceDN w:val="0"/>
        <w:adjustRightInd w:val="0"/>
        <w:spacing w:after="0"/>
        <w:jc w:val="both"/>
        <w:rPr>
          <w:rFonts w:asciiTheme="minorHAnsi" w:eastAsiaTheme="minorHAnsi" w:hAnsiTheme="minorHAnsi" w:cs="Calibri"/>
          <w:lang w:val="es-PE"/>
        </w:rPr>
      </w:pPr>
      <w:r w:rsidRPr="00B70D01">
        <w:rPr>
          <w:rFonts w:asciiTheme="minorHAnsi" w:eastAsiaTheme="minorHAnsi" w:hAnsiTheme="minorHAnsi" w:cs="Calibri"/>
          <w:lang w:val="es-PE"/>
        </w:rPr>
        <w:t>Estructura transitoria o conjunto de facilitaciones de ayuda ante desastres</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por eventos naturales o producidos por el hombre, que albergan a personas,</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familias o grupo de familias, para proveer refugio y resguardo frente a la</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pérdida de viviendas por fuerzas externas a ellos. Estas viviendas consideran</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un área básica admisible para su uso y correcto funcionamiento con el debido</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nivel de confort para la realización de las actividades físicas y mentales de sus</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 xml:space="preserve">habitantes de manera </w:t>
      </w:r>
      <w:r>
        <w:rPr>
          <w:rFonts w:asciiTheme="minorHAnsi" w:eastAsiaTheme="minorHAnsi" w:hAnsiTheme="minorHAnsi" w:cs="Calibri"/>
          <w:lang w:val="es-PE"/>
        </w:rPr>
        <w:t>t</w:t>
      </w:r>
      <w:r w:rsidRPr="00B70D01">
        <w:rPr>
          <w:rFonts w:asciiTheme="minorHAnsi" w:eastAsiaTheme="minorHAnsi" w:hAnsiTheme="minorHAnsi" w:cs="Calibri"/>
          <w:lang w:val="es-PE"/>
        </w:rPr>
        <w:t>emporal hasta el paso de la emergencia y el retorno o</w:t>
      </w:r>
      <w:r>
        <w:rPr>
          <w:rFonts w:asciiTheme="minorHAnsi" w:eastAsiaTheme="minorHAnsi" w:hAnsiTheme="minorHAnsi" w:cs="Calibri"/>
          <w:lang w:val="es-PE"/>
        </w:rPr>
        <w:t xml:space="preserve"> </w:t>
      </w:r>
      <w:r w:rsidRPr="00B70D01">
        <w:rPr>
          <w:rFonts w:asciiTheme="minorHAnsi" w:eastAsiaTheme="minorHAnsi" w:hAnsiTheme="minorHAnsi" w:cs="Calibri"/>
          <w:lang w:val="es-PE"/>
        </w:rPr>
        <w:t>restablecimie</w:t>
      </w:r>
      <w:r>
        <w:rPr>
          <w:rFonts w:asciiTheme="minorHAnsi" w:eastAsiaTheme="minorHAnsi" w:hAnsiTheme="minorHAnsi" w:cs="Calibri"/>
          <w:lang w:val="es-PE"/>
        </w:rPr>
        <w:t>nto de la propiedad siniestrada.</w:t>
      </w:r>
    </w:p>
    <w:p w:rsidR="00A218ED" w:rsidRPr="00B70D01" w:rsidRDefault="00A218ED" w:rsidP="004C472A">
      <w:pPr>
        <w:spacing w:after="0"/>
        <w:rPr>
          <w:b/>
          <w:lang w:val="es-ES"/>
        </w:rPr>
      </w:pPr>
    </w:p>
    <w:p w:rsidR="00082B26" w:rsidRPr="0054060A" w:rsidRDefault="00082B26" w:rsidP="0054060A">
      <w:pPr>
        <w:pStyle w:val="Heading2"/>
        <w:rPr>
          <w:b/>
          <w:color w:val="FF0000"/>
          <w:lang w:val="es-ES"/>
        </w:rPr>
      </w:pPr>
      <w:r w:rsidRPr="00D97B6A">
        <w:rPr>
          <w:b/>
          <w:color w:val="FF0000"/>
          <w:lang w:val="es-ES"/>
        </w:rPr>
        <w:lastRenderedPageBreak/>
        <w:t>T</w:t>
      </w:r>
      <w:r w:rsidR="00B70D01" w:rsidRPr="00D97B6A">
        <w:rPr>
          <w:b/>
          <w:color w:val="FF0000"/>
          <w:lang w:val="es-ES"/>
        </w:rPr>
        <w:t>IPOS DE ALOJAMIENTOS TEMPORALES</w:t>
      </w:r>
    </w:p>
    <w:p w:rsidR="0086268F" w:rsidRDefault="00B14832" w:rsidP="00082B26">
      <w:pPr>
        <w:spacing w:after="0"/>
        <w:rPr>
          <w:b/>
          <w:lang w:val="es-ES"/>
        </w:rPr>
      </w:pPr>
      <w:r w:rsidRPr="00B14832">
        <w:rPr>
          <w:b/>
          <w:noProof/>
          <w:lang w:eastAsia="en-GB"/>
        </w:rPr>
        <w:drawing>
          <wp:inline distT="0" distB="0" distL="0" distR="0">
            <wp:extent cx="5353050" cy="3577008"/>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7155" cy="3579751"/>
                    </a:xfrm>
                    <a:prstGeom prst="rect">
                      <a:avLst/>
                    </a:prstGeom>
                    <a:noFill/>
                    <a:ln>
                      <a:noFill/>
                    </a:ln>
                  </pic:spPr>
                </pic:pic>
              </a:graphicData>
            </a:graphic>
          </wp:inline>
        </w:drawing>
      </w:r>
    </w:p>
    <w:p w:rsidR="0086268F" w:rsidRPr="00B70D01" w:rsidRDefault="0086268F" w:rsidP="00082B26">
      <w:pPr>
        <w:spacing w:after="0"/>
        <w:rPr>
          <w:b/>
          <w:lang w:val="es-ES"/>
        </w:rPr>
      </w:pPr>
    </w:p>
    <w:p w:rsidR="00082B26" w:rsidRPr="00082B26" w:rsidRDefault="00B70D01" w:rsidP="00082B26">
      <w:pPr>
        <w:spacing w:after="0"/>
        <w:jc w:val="both"/>
        <w:rPr>
          <w:rFonts w:asciiTheme="minorHAnsi" w:eastAsiaTheme="minorHAnsi" w:hAnsiTheme="minorHAnsi" w:cs="Calibri"/>
          <w:lang w:val="es-PE"/>
        </w:rPr>
      </w:pPr>
      <w:r>
        <w:rPr>
          <w:rFonts w:asciiTheme="minorHAnsi" w:eastAsiaTheme="minorHAnsi" w:hAnsiTheme="minorHAnsi" w:cs="Calibri"/>
          <w:b/>
          <w:i/>
          <w:lang w:val="es-PE"/>
        </w:rPr>
        <w:t xml:space="preserve">1.- </w:t>
      </w:r>
      <w:r w:rsidR="00082B26" w:rsidRPr="00EA048E">
        <w:rPr>
          <w:rFonts w:asciiTheme="minorHAnsi" w:eastAsiaTheme="minorHAnsi" w:hAnsiTheme="minorHAnsi" w:cs="Calibri"/>
          <w:b/>
          <w:i/>
          <w:lang w:val="es-PE"/>
        </w:rPr>
        <w:t>Campamentos planificados</w:t>
      </w:r>
      <w:r w:rsidR="00082B26" w:rsidRPr="00082B26">
        <w:rPr>
          <w:rFonts w:asciiTheme="minorHAnsi" w:eastAsiaTheme="minorHAnsi" w:hAnsiTheme="minorHAnsi" w:cs="Calibri"/>
          <w:lang w:val="es-PE"/>
        </w:rPr>
        <w:t>. – Son aquellos en los que la autoridad responsable asigna a la población damnificada un espacio específico definido para tal fin, el cual ha sido preferentemente preparado para ser utilizado como Alojamiento Temporal siguiendo los estándares internacionales. Deben tener una oferta completa de servicios, incluyendo suministro de agua, distribución de alimentos, distribución de ayuda no alimentaria y educación, entre otros.</w:t>
      </w:r>
    </w:p>
    <w:p w:rsidR="00082B26" w:rsidRPr="00082B26" w:rsidRDefault="00082B26" w:rsidP="00082B26">
      <w:pPr>
        <w:spacing w:after="0"/>
        <w:jc w:val="both"/>
        <w:rPr>
          <w:rFonts w:asciiTheme="minorHAnsi" w:eastAsiaTheme="minorHAnsi" w:hAnsiTheme="minorHAnsi" w:cs="Calibri"/>
          <w:lang w:val="es-PE"/>
        </w:rPr>
      </w:pPr>
    </w:p>
    <w:p w:rsidR="00082B26" w:rsidRDefault="00B70D01" w:rsidP="00082B26">
      <w:pPr>
        <w:spacing w:after="0"/>
        <w:jc w:val="both"/>
        <w:rPr>
          <w:rFonts w:asciiTheme="minorHAnsi" w:eastAsiaTheme="minorHAnsi" w:hAnsiTheme="minorHAnsi" w:cs="Calibri"/>
          <w:lang w:val="es-PE"/>
        </w:rPr>
      </w:pPr>
      <w:r>
        <w:rPr>
          <w:rFonts w:asciiTheme="minorHAnsi" w:eastAsiaTheme="minorHAnsi" w:hAnsiTheme="minorHAnsi" w:cs="Calibri"/>
          <w:b/>
          <w:i/>
          <w:lang w:val="es-PE"/>
        </w:rPr>
        <w:t xml:space="preserve">2.- </w:t>
      </w:r>
      <w:r w:rsidR="00082B26" w:rsidRPr="00EA048E">
        <w:rPr>
          <w:rFonts w:asciiTheme="minorHAnsi" w:eastAsiaTheme="minorHAnsi" w:hAnsiTheme="minorHAnsi" w:cs="Calibri"/>
          <w:b/>
          <w:i/>
          <w:lang w:val="es-PE"/>
        </w:rPr>
        <w:t>Campamentos espontáneos</w:t>
      </w:r>
      <w:r w:rsidR="00EA048E">
        <w:rPr>
          <w:rFonts w:asciiTheme="minorHAnsi" w:eastAsiaTheme="minorHAnsi" w:hAnsiTheme="minorHAnsi" w:cs="Calibri"/>
          <w:b/>
          <w:lang w:val="es-PE"/>
        </w:rPr>
        <w:t>.</w:t>
      </w:r>
      <w:r w:rsidR="00082B26" w:rsidRPr="00082B26">
        <w:rPr>
          <w:rFonts w:asciiTheme="minorHAnsi" w:eastAsiaTheme="minorHAnsi" w:hAnsiTheme="minorHAnsi" w:cs="Calibri"/>
          <w:lang w:val="es-PE"/>
        </w:rPr>
        <w:t>- Son espacios donde las personas damnificadas buscan refugio temporal, independientemente de si hay o no asistencia por parte del Gobierno o la comunidad internacional. Estos asentamientos espontáneos a menudo se sitúan en terrenos de propiedad estatal, privada o comunal, por lo general después de negociar con la población local o con los propietarios privados respecto al uso y acceso. A menudo este tipo de alojamientos no cumple con las condiciones mínimas de habitabilidad, o no dan abasto a las</w:t>
      </w:r>
      <w:r w:rsidR="00082B26">
        <w:rPr>
          <w:rFonts w:asciiTheme="minorHAnsi" w:eastAsiaTheme="minorHAnsi" w:hAnsiTheme="minorHAnsi" w:cs="Calibri"/>
          <w:lang w:val="es-PE"/>
        </w:rPr>
        <w:t xml:space="preserve"> </w:t>
      </w:r>
      <w:r w:rsidR="00082B26" w:rsidRPr="00082B26">
        <w:rPr>
          <w:rFonts w:asciiTheme="minorHAnsi" w:eastAsiaTheme="minorHAnsi" w:hAnsiTheme="minorHAnsi" w:cs="Calibri"/>
          <w:lang w:val="es-PE"/>
        </w:rPr>
        <w:t>necesidades de la población afectada, por lo cual requieren ser modificados para alcanzar niveles mínimos de condiciones de vida.</w:t>
      </w:r>
    </w:p>
    <w:p w:rsidR="00082B26" w:rsidRPr="00082B26" w:rsidRDefault="00082B26" w:rsidP="00082B26">
      <w:pPr>
        <w:spacing w:after="0"/>
        <w:jc w:val="both"/>
        <w:rPr>
          <w:rFonts w:asciiTheme="minorHAnsi" w:eastAsiaTheme="minorHAnsi" w:hAnsiTheme="minorHAnsi" w:cs="Calibri"/>
          <w:lang w:val="es-PE"/>
        </w:rPr>
      </w:pPr>
    </w:p>
    <w:p w:rsidR="00082B26" w:rsidRDefault="00B70D01" w:rsidP="00082B26">
      <w:pPr>
        <w:spacing w:after="0"/>
        <w:jc w:val="both"/>
        <w:rPr>
          <w:rFonts w:asciiTheme="minorHAnsi" w:eastAsiaTheme="minorHAnsi" w:hAnsiTheme="minorHAnsi" w:cs="Calibri"/>
          <w:lang w:val="es-PE"/>
        </w:rPr>
      </w:pPr>
      <w:r>
        <w:rPr>
          <w:rFonts w:asciiTheme="minorHAnsi" w:eastAsiaTheme="minorHAnsi" w:hAnsiTheme="minorHAnsi" w:cs="Calibri"/>
          <w:b/>
          <w:i/>
          <w:lang w:val="es-PE"/>
        </w:rPr>
        <w:t xml:space="preserve">3.- </w:t>
      </w:r>
      <w:r w:rsidR="00082B26" w:rsidRPr="00EA048E">
        <w:rPr>
          <w:rFonts w:asciiTheme="minorHAnsi" w:eastAsiaTheme="minorHAnsi" w:hAnsiTheme="minorHAnsi" w:cs="Calibri"/>
          <w:b/>
          <w:i/>
          <w:lang w:val="es-PE"/>
        </w:rPr>
        <w:t>Centros de Recepción y Tránsito</w:t>
      </w:r>
      <w:r w:rsidR="00EA048E">
        <w:rPr>
          <w:rFonts w:asciiTheme="minorHAnsi" w:eastAsiaTheme="minorHAnsi" w:hAnsiTheme="minorHAnsi" w:cs="Calibri"/>
          <w:b/>
          <w:i/>
          <w:lang w:val="es-PE"/>
        </w:rPr>
        <w:t>.</w:t>
      </w:r>
      <w:r w:rsidR="00082B26" w:rsidRPr="00082B26">
        <w:rPr>
          <w:rFonts w:asciiTheme="minorHAnsi" w:eastAsiaTheme="minorHAnsi" w:hAnsiTheme="minorHAnsi" w:cs="Calibri"/>
          <w:lang w:val="es-PE"/>
        </w:rPr>
        <w:t>- Con frecuencia, es necesario proporcionar alojamiento temporal a las personas desplazadas. Estos alojamientos temporales pueden ser necesarios en el inicio de una emergencia como asentamiento de este tipo en espera de transferencia a un alojamiento adecuado, seguro y de largo plazo, o al final de una operación como parada o punto de descanso en el proceso de retorno. En consecuencia los centros de recepción y tránsito son por lo general instalaciones de corto o mediano plazo.</w:t>
      </w:r>
    </w:p>
    <w:p w:rsidR="00526F46" w:rsidRPr="00082B26" w:rsidRDefault="00526F46" w:rsidP="00082B26">
      <w:pPr>
        <w:spacing w:after="0"/>
        <w:jc w:val="both"/>
        <w:rPr>
          <w:rFonts w:asciiTheme="minorHAnsi" w:eastAsiaTheme="minorHAnsi" w:hAnsiTheme="minorHAnsi" w:cs="Calibri"/>
          <w:lang w:val="es-PE"/>
        </w:rPr>
      </w:pPr>
    </w:p>
    <w:p w:rsidR="00082B26" w:rsidRDefault="00B70D01" w:rsidP="00082B26">
      <w:pPr>
        <w:spacing w:after="0"/>
        <w:jc w:val="both"/>
        <w:rPr>
          <w:rFonts w:asciiTheme="minorHAnsi" w:eastAsiaTheme="minorHAnsi" w:hAnsiTheme="minorHAnsi" w:cs="Calibri"/>
          <w:lang w:val="es-PE"/>
        </w:rPr>
      </w:pPr>
      <w:r>
        <w:rPr>
          <w:rFonts w:asciiTheme="minorHAnsi" w:eastAsiaTheme="minorHAnsi" w:hAnsiTheme="minorHAnsi" w:cs="Calibri"/>
          <w:b/>
          <w:i/>
          <w:lang w:val="es-PE"/>
        </w:rPr>
        <w:t xml:space="preserve">4.- </w:t>
      </w:r>
      <w:r w:rsidR="00082B26" w:rsidRPr="00EA048E">
        <w:rPr>
          <w:rFonts w:asciiTheme="minorHAnsi" w:eastAsiaTheme="minorHAnsi" w:hAnsiTheme="minorHAnsi" w:cs="Calibri"/>
          <w:b/>
          <w:i/>
          <w:lang w:val="es-PE"/>
        </w:rPr>
        <w:t>Centros Colectivos</w:t>
      </w:r>
      <w:r w:rsidR="00EA048E">
        <w:rPr>
          <w:rFonts w:asciiTheme="minorHAnsi" w:eastAsiaTheme="minorHAnsi" w:hAnsiTheme="minorHAnsi" w:cs="Calibri"/>
          <w:b/>
          <w:i/>
          <w:lang w:val="es-PE"/>
        </w:rPr>
        <w:t xml:space="preserve">.- </w:t>
      </w:r>
      <w:r w:rsidR="00082B26" w:rsidRPr="00082B26">
        <w:rPr>
          <w:rFonts w:asciiTheme="minorHAnsi" w:eastAsiaTheme="minorHAnsi" w:hAnsiTheme="minorHAnsi" w:cs="Calibri"/>
          <w:lang w:val="es-PE"/>
        </w:rPr>
        <w:t xml:space="preserve">aquel en que los desplazados </w:t>
      </w:r>
      <w:r w:rsidR="00EA048E">
        <w:rPr>
          <w:rFonts w:asciiTheme="minorHAnsi" w:eastAsiaTheme="minorHAnsi" w:hAnsiTheme="minorHAnsi" w:cs="Calibri"/>
          <w:lang w:val="es-PE"/>
        </w:rPr>
        <w:t xml:space="preserve">se </w:t>
      </w:r>
      <w:r w:rsidR="00082B26" w:rsidRPr="00082B26">
        <w:rPr>
          <w:rFonts w:asciiTheme="minorHAnsi" w:eastAsiaTheme="minorHAnsi" w:hAnsiTheme="minorHAnsi" w:cs="Calibri"/>
          <w:lang w:val="es-PE"/>
        </w:rPr>
        <w:t xml:space="preserve">encuentran </w:t>
      </w:r>
      <w:r w:rsidR="00EA048E">
        <w:rPr>
          <w:rFonts w:asciiTheme="minorHAnsi" w:eastAsiaTheme="minorHAnsi" w:hAnsiTheme="minorHAnsi" w:cs="Calibri"/>
          <w:lang w:val="es-PE"/>
        </w:rPr>
        <w:t>alojados en estructuras pre</w:t>
      </w:r>
      <w:r w:rsidR="00082B26" w:rsidRPr="00082B26">
        <w:rPr>
          <w:rFonts w:asciiTheme="minorHAnsi" w:eastAsiaTheme="minorHAnsi" w:hAnsiTheme="minorHAnsi" w:cs="Calibri"/>
          <w:lang w:val="es-PE"/>
        </w:rPr>
        <w:t xml:space="preserve">existentes (edificios públicos o de la comunidad), por ejemplo, en cuarteles, </w:t>
      </w:r>
      <w:r w:rsidR="00EA048E">
        <w:rPr>
          <w:rFonts w:asciiTheme="minorHAnsi" w:eastAsiaTheme="minorHAnsi" w:hAnsiTheme="minorHAnsi" w:cs="Calibri"/>
          <w:lang w:val="es-PE"/>
        </w:rPr>
        <w:t>locales comunales</w:t>
      </w:r>
      <w:r w:rsidR="00082B26" w:rsidRPr="00082B26">
        <w:rPr>
          <w:rFonts w:asciiTheme="minorHAnsi" w:eastAsiaTheme="minorHAnsi" w:hAnsiTheme="minorHAnsi" w:cs="Calibri"/>
          <w:lang w:val="es-PE"/>
        </w:rPr>
        <w:t>, locales municipales, gimnasios, hoteles, bodegas, fábricas abandonadas y edificios en construcción. A menudo se utilizan cuando el desplazamiento se produce dentro de una misma ciudad, o cuando hay importantes flujos de población desplazada en una ciudad o pueblo.</w:t>
      </w:r>
    </w:p>
    <w:p w:rsidR="00EA048E" w:rsidRPr="00082B26" w:rsidRDefault="00EA048E" w:rsidP="00082B26">
      <w:pPr>
        <w:spacing w:after="0"/>
        <w:jc w:val="both"/>
        <w:rPr>
          <w:rFonts w:asciiTheme="minorHAnsi" w:eastAsiaTheme="minorHAnsi" w:hAnsiTheme="minorHAnsi" w:cs="Calibri"/>
          <w:lang w:val="es-PE"/>
        </w:rPr>
      </w:pPr>
    </w:p>
    <w:p w:rsidR="00082B26" w:rsidRDefault="00082B26" w:rsidP="0086268F">
      <w:pPr>
        <w:spacing w:after="0"/>
        <w:ind w:left="720"/>
        <w:jc w:val="both"/>
        <w:rPr>
          <w:rFonts w:asciiTheme="minorHAnsi" w:eastAsiaTheme="minorHAnsi" w:hAnsiTheme="minorHAnsi" w:cs="Calibri"/>
          <w:lang w:val="es-PE"/>
        </w:rPr>
      </w:pPr>
      <w:r w:rsidRPr="00EA048E">
        <w:rPr>
          <w:rFonts w:asciiTheme="minorHAnsi" w:eastAsiaTheme="minorHAnsi" w:hAnsiTheme="minorHAnsi" w:cs="Calibri"/>
          <w:b/>
          <w:i/>
          <w:lang w:val="es-PE"/>
        </w:rPr>
        <w:t>Albergues unifamiliares</w:t>
      </w:r>
      <w:r w:rsidR="00EA048E">
        <w:rPr>
          <w:rFonts w:asciiTheme="minorHAnsi" w:eastAsiaTheme="minorHAnsi" w:hAnsiTheme="minorHAnsi" w:cs="Calibri"/>
          <w:lang w:val="es-PE"/>
        </w:rPr>
        <w:t>.-</w:t>
      </w:r>
      <w:r w:rsidRPr="00082B26">
        <w:rPr>
          <w:rFonts w:asciiTheme="minorHAnsi" w:eastAsiaTheme="minorHAnsi" w:hAnsiTheme="minorHAnsi" w:cs="Calibri"/>
          <w:lang w:val="es-PE"/>
        </w:rPr>
        <w:t xml:space="preserve"> Alojamientos planeados en los cuales la autoridad responsable asigna a la población damnificada un espacio específico para la instalación de la infraestructura basada en módulos o carpas para albergar una sola familia y compartir los espacios comunitarios como cocina, comedor y servicios sanitarios.</w:t>
      </w:r>
    </w:p>
    <w:p w:rsidR="00EA048E" w:rsidRPr="00082B26" w:rsidRDefault="00EA048E" w:rsidP="00082B26">
      <w:pPr>
        <w:spacing w:after="0"/>
        <w:jc w:val="both"/>
        <w:rPr>
          <w:rFonts w:asciiTheme="minorHAnsi" w:eastAsiaTheme="minorHAnsi" w:hAnsiTheme="minorHAnsi" w:cs="Calibri"/>
          <w:lang w:val="es-PE"/>
        </w:rPr>
      </w:pPr>
    </w:p>
    <w:p w:rsidR="0086268F" w:rsidRDefault="00082B26" w:rsidP="0086268F">
      <w:pPr>
        <w:spacing w:after="0"/>
        <w:ind w:left="720"/>
        <w:jc w:val="both"/>
        <w:rPr>
          <w:rFonts w:asciiTheme="minorHAnsi" w:eastAsiaTheme="minorHAnsi" w:hAnsiTheme="minorHAnsi" w:cs="Calibri"/>
          <w:lang w:val="es-PE"/>
        </w:rPr>
      </w:pPr>
      <w:r w:rsidRPr="00EA048E">
        <w:rPr>
          <w:rFonts w:asciiTheme="minorHAnsi" w:eastAsiaTheme="minorHAnsi" w:hAnsiTheme="minorHAnsi" w:cs="Calibri"/>
          <w:b/>
          <w:i/>
          <w:lang w:val="es-PE"/>
        </w:rPr>
        <w:t>Albergues multifamiliares</w:t>
      </w:r>
      <w:r w:rsidR="00EA048E">
        <w:rPr>
          <w:rFonts w:asciiTheme="minorHAnsi" w:eastAsiaTheme="minorHAnsi" w:hAnsiTheme="minorHAnsi" w:cs="Calibri"/>
          <w:lang w:val="es-PE"/>
        </w:rPr>
        <w:t>.-</w:t>
      </w:r>
      <w:r w:rsidRPr="00082B26">
        <w:rPr>
          <w:rFonts w:asciiTheme="minorHAnsi" w:eastAsiaTheme="minorHAnsi" w:hAnsiTheme="minorHAnsi" w:cs="Calibri"/>
          <w:lang w:val="es-PE"/>
        </w:rPr>
        <w:t xml:space="preserve"> Alojamientos planeados en los cuales la autoridad responsable asigna a la población damnificada un espacio específico para la instalación de la infraestructura, basada en módulos para alojar varias familias en unidades habitacionales independientes por familia. Las familias comparten los espacios comunitarios como cocina, comedor, recreación, servicios sanitarios, entre otros.</w:t>
      </w:r>
    </w:p>
    <w:p w:rsidR="0086268F" w:rsidRDefault="0086268F" w:rsidP="0086268F">
      <w:pPr>
        <w:spacing w:after="0"/>
        <w:ind w:left="720"/>
        <w:jc w:val="both"/>
        <w:rPr>
          <w:rFonts w:asciiTheme="minorHAnsi" w:eastAsiaTheme="minorHAnsi" w:hAnsiTheme="minorHAnsi" w:cs="Calibri"/>
          <w:lang w:val="es-PE"/>
        </w:rPr>
      </w:pPr>
    </w:p>
    <w:p w:rsidR="0086268F" w:rsidRDefault="0086268F" w:rsidP="0086268F">
      <w:pPr>
        <w:spacing w:after="0"/>
        <w:jc w:val="both"/>
        <w:rPr>
          <w:rFonts w:asciiTheme="minorHAnsi" w:eastAsiaTheme="minorHAnsi" w:hAnsiTheme="minorHAnsi" w:cs="Calibri"/>
          <w:lang w:val="es-PE"/>
        </w:rPr>
      </w:pPr>
      <w:r>
        <w:rPr>
          <w:rFonts w:asciiTheme="minorHAnsi" w:eastAsiaTheme="minorHAnsi" w:hAnsiTheme="minorHAnsi" w:cs="Calibri"/>
          <w:lang w:val="es-PE"/>
        </w:rPr>
        <w:t xml:space="preserve">5.- </w:t>
      </w:r>
      <w:r w:rsidRPr="0086268F">
        <w:rPr>
          <w:rFonts w:asciiTheme="minorHAnsi" w:eastAsiaTheme="minorHAnsi" w:hAnsiTheme="minorHAnsi" w:cs="Calibri"/>
          <w:b/>
          <w:i/>
          <w:lang w:val="es-PE"/>
        </w:rPr>
        <w:t>Centros de evacuación de emergencia</w:t>
      </w:r>
      <w:r>
        <w:rPr>
          <w:rFonts w:asciiTheme="minorHAnsi" w:eastAsiaTheme="minorHAnsi" w:hAnsiTheme="minorHAnsi" w:cs="Calibri"/>
          <w:lang w:val="es-PE"/>
        </w:rPr>
        <w:t>.-</w:t>
      </w:r>
      <w:r w:rsidRPr="0086268F">
        <w:rPr>
          <w:rFonts w:asciiTheme="minorHAnsi" w:eastAsiaTheme="minorHAnsi" w:hAnsiTheme="minorHAnsi" w:cs="Calibri"/>
          <w:lang w:val="es-PE"/>
        </w:rPr>
        <w:t xml:space="preserve"> Centros de evacuación de emergencia pueden establecerse para proporcionar refugio temporal apropiado para personas que huyen de una amenaza específica e inmediata, como un conflicto o violencia, o un desastre natural, como un ciclón. Las escuelas, centros deportivos y edificios religiosos o cívicos a menudo se utilizan para este propósito. En aquellos sitios donde sea posible, los Centros de evacuación deben estar preparados y planificados con antelación al desastre</w:t>
      </w:r>
      <w:r>
        <w:rPr>
          <w:rFonts w:asciiTheme="minorHAnsi" w:eastAsiaTheme="minorHAnsi" w:hAnsiTheme="minorHAnsi" w:cs="Calibri"/>
          <w:lang w:val="es-PE"/>
        </w:rPr>
        <w:t>.</w:t>
      </w:r>
    </w:p>
    <w:p w:rsidR="00082B26" w:rsidRDefault="00082B26" w:rsidP="00082B26">
      <w:pPr>
        <w:spacing w:after="0"/>
        <w:rPr>
          <w:rFonts w:asciiTheme="minorHAnsi" w:eastAsiaTheme="minorHAnsi" w:hAnsiTheme="minorHAnsi" w:cs="Calibri"/>
          <w:lang w:val="es-PE"/>
        </w:rPr>
      </w:pPr>
    </w:p>
    <w:p w:rsidR="00C100E8" w:rsidRPr="00F144CB" w:rsidRDefault="00C100E8" w:rsidP="00F144CB">
      <w:pPr>
        <w:pStyle w:val="Heading2"/>
        <w:rPr>
          <w:b/>
          <w:color w:val="FF0000"/>
          <w:lang w:val="es-ES"/>
        </w:rPr>
      </w:pPr>
      <w:r w:rsidRPr="00F144CB">
        <w:rPr>
          <w:b/>
          <w:color w:val="FF0000"/>
          <w:lang w:val="es-ES"/>
        </w:rPr>
        <w:t>LINEAMIENTO</w:t>
      </w:r>
      <w:r w:rsidR="00742B61" w:rsidRPr="00F144CB">
        <w:rPr>
          <w:b/>
          <w:color w:val="FF0000"/>
          <w:lang w:val="es-ES"/>
        </w:rPr>
        <w:t>S / CRITERIOS DE DISEÑO DE VIVIENDAS/ALOJAMIENTOS TEMPORALES</w:t>
      </w:r>
    </w:p>
    <w:p w:rsidR="00C100E8" w:rsidRDefault="00C100E8" w:rsidP="00C100E8">
      <w:pPr>
        <w:autoSpaceDE w:val="0"/>
        <w:autoSpaceDN w:val="0"/>
        <w:adjustRightInd w:val="0"/>
        <w:spacing w:after="0" w:line="240" w:lineRule="auto"/>
        <w:rPr>
          <w:rFonts w:asciiTheme="minorHAnsi" w:eastAsiaTheme="minorHAnsi" w:hAnsiTheme="minorHAnsi" w:cs="Calibri"/>
          <w:lang w:val="es-PE"/>
        </w:rPr>
      </w:pPr>
    </w:p>
    <w:p w:rsidR="00C100E8" w:rsidRPr="00742B61" w:rsidRDefault="00C100E8" w:rsidP="00742B61">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ESFERA como marco normativo para la implementación de viviendas</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temporales en situaciones de emergencia. Se ha considerado las 5</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Normas Mínimas</w:t>
      </w:r>
      <w:r w:rsidR="00742B61" w:rsidRPr="00742B61">
        <w:rPr>
          <w:rFonts w:asciiTheme="minorHAnsi" w:eastAsiaTheme="minorHAnsi" w:hAnsiTheme="minorHAnsi" w:cs="Calibri"/>
          <w:lang w:val="es-PE"/>
        </w:rPr>
        <w:t xml:space="preserve"> de alojamientos y asentamiento:</w:t>
      </w:r>
    </w:p>
    <w:p w:rsidR="00C100E8" w:rsidRPr="00742B61" w:rsidRDefault="00C100E8" w:rsidP="00742B61">
      <w:p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1: Planificación Estratégica</w:t>
      </w:r>
    </w:p>
    <w:p w:rsidR="00C100E8" w:rsidRPr="00742B61" w:rsidRDefault="00C100E8" w:rsidP="00742B61">
      <w:p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2: Planificación de asentamientos Humanos</w:t>
      </w:r>
    </w:p>
    <w:p w:rsidR="00C100E8" w:rsidRPr="00742B61" w:rsidRDefault="00C100E8" w:rsidP="00742B61">
      <w:p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3: Espacios vitales cubiertos</w:t>
      </w:r>
    </w:p>
    <w:p w:rsidR="00C100E8" w:rsidRPr="00742B61" w:rsidRDefault="00C100E8" w:rsidP="00742B61">
      <w:p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4: Construcción</w:t>
      </w:r>
    </w:p>
    <w:p w:rsidR="00C100E8" w:rsidRPr="00742B61" w:rsidRDefault="00C100E8" w:rsidP="00742B61">
      <w:p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Norma 5: Impacto Ambiental</w:t>
      </w:r>
    </w:p>
    <w:p w:rsidR="00742B61" w:rsidRPr="00C100E8" w:rsidRDefault="00742B61" w:rsidP="00742B61">
      <w:pPr>
        <w:autoSpaceDE w:val="0"/>
        <w:autoSpaceDN w:val="0"/>
        <w:adjustRightInd w:val="0"/>
        <w:spacing w:after="0" w:line="240" w:lineRule="auto"/>
        <w:ind w:left="426"/>
        <w:jc w:val="both"/>
        <w:rPr>
          <w:rFonts w:asciiTheme="minorHAnsi" w:eastAsiaTheme="minorHAnsi" w:hAnsiTheme="minorHAnsi" w:cs="Calibri"/>
          <w:lang w:val="es-PE"/>
        </w:rPr>
      </w:pPr>
    </w:p>
    <w:p w:rsidR="00C100E8" w:rsidRPr="00742B61" w:rsidRDefault="00C100E8" w:rsidP="00742B61">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Área mínima de 18m2 para 5 personas, bajo la premisa de 3.5 m2 por</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 xml:space="preserve">persona como área </w:t>
      </w:r>
      <w:r w:rsidR="00742B61" w:rsidRPr="00742B61">
        <w:rPr>
          <w:rFonts w:asciiTheme="minorHAnsi" w:eastAsiaTheme="minorHAnsi" w:hAnsiTheme="minorHAnsi" w:cs="Calibri"/>
          <w:lang w:val="es-PE"/>
        </w:rPr>
        <w:t>m</w:t>
      </w:r>
      <w:r w:rsidRPr="00742B61">
        <w:rPr>
          <w:rFonts w:asciiTheme="minorHAnsi" w:eastAsiaTheme="minorHAnsi" w:hAnsiTheme="minorHAnsi" w:cs="Calibri"/>
          <w:lang w:val="es-PE"/>
        </w:rPr>
        <w:t>ínima recomendable.</w:t>
      </w:r>
    </w:p>
    <w:p w:rsidR="00742B61" w:rsidRPr="00C100E8" w:rsidRDefault="00742B61" w:rsidP="00742B61">
      <w:pPr>
        <w:autoSpaceDE w:val="0"/>
        <w:autoSpaceDN w:val="0"/>
        <w:adjustRightInd w:val="0"/>
        <w:spacing w:after="0" w:line="240" w:lineRule="auto"/>
        <w:ind w:left="426"/>
        <w:jc w:val="both"/>
        <w:rPr>
          <w:rFonts w:asciiTheme="minorHAnsi" w:eastAsiaTheme="minorHAnsi" w:hAnsiTheme="minorHAnsi" w:cs="Calibri"/>
          <w:lang w:val="es-PE"/>
        </w:rPr>
      </w:pPr>
    </w:p>
    <w:p w:rsidR="00C100E8" w:rsidRDefault="00C100E8" w:rsidP="00742B61">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Estructura sencilla, utilizando tecnologías con sistemas constructivos alternativos,</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validados según el entorno geográfico al cual va destinado</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para su implementación.</w:t>
      </w:r>
    </w:p>
    <w:p w:rsidR="00742B61" w:rsidRPr="00742B61" w:rsidRDefault="00742B61" w:rsidP="00742B61">
      <w:pPr>
        <w:pStyle w:val="ListParagraph"/>
        <w:rPr>
          <w:rFonts w:asciiTheme="minorHAnsi" w:eastAsiaTheme="minorHAnsi" w:hAnsiTheme="minorHAnsi" w:cs="Calibri"/>
          <w:lang w:val="es-PE"/>
        </w:rPr>
      </w:pPr>
    </w:p>
    <w:p w:rsidR="00C100E8" w:rsidRDefault="00C100E8" w:rsidP="00742B61">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lastRenderedPageBreak/>
        <w:t>Módulo de vivienda temporal a ser usado también como vivienda de</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transición de uso prolongado (3 años), pudiendo ser posteriormente incorporada</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a la estructura de la vivienda permanente (en el proceso de</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reconstrucción, pasada la emergencia).</w:t>
      </w:r>
      <w:r w:rsidR="00742B61">
        <w:rPr>
          <w:rFonts w:asciiTheme="minorHAnsi" w:eastAsiaTheme="minorHAnsi" w:hAnsiTheme="minorHAnsi" w:cs="Calibri"/>
          <w:lang w:val="es-PE"/>
        </w:rPr>
        <w:t xml:space="preserve"> </w:t>
      </w:r>
    </w:p>
    <w:p w:rsidR="00742B61" w:rsidRPr="00742B61" w:rsidRDefault="00742B61" w:rsidP="00742B61">
      <w:pPr>
        <w:pStyle w:val="ListParagraph"/>
        <w:rPr>
          <w:rFonts w:asciiTheme="minorHAnsi" w:eastAsiaTheme="minorHAnsi" w:hAnsiTheme="minorHAnsi" w:cs="Calibri"/>
          <w:lang w:val="es-PE"/>
        </w:rPr>
      </w:pPr>
    </w:p>
    <w:p w:rsidR="00A218ED" w:rsidRPr="00742B61" w:rsidRDefault="00C100E8" w:rsidP="00742B61">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Condiciones de confort de la vivienda temporal similares a los que se</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alcanzan con tecnologías convencionales de construcción (sensación de</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protección por parte de los usuarios, reduciendo la zozobra e incertidumbre</w:t>
      </w:r>
      <w:r w:rsidR="00742B61" w:rsidRPr="00742B61">
        <w:rPr>
          <w:rFonts w:asciiTheme="minorHAnsi" w:eastAsiaTheme="minorHAnsi" w:hAnsiTheme="minorHAnsi" w:cs="Calibri"/>
          <w:lang w:val="es-PE"/>
        </w:rPr>
        <w:t xml:space="preserve"> </w:t>
      </w:r>
      <w:r w:rsidRPr="00742B61">
        <w:rPr>
          <w:rFonts w:asciiTheme="minorHAnsi" w:eastAsiaTheme="minorHAnsi" w:hAnsiTheme="minorHAnsi" w:cs="Calibri"/>
          <w:lang w:val="es-PE"/>
        </w:rPr>
        <w:t>generada por el desastre).</w:t>
      </w:r>
    </w:p>
    <w:p w:rsidR="00C100E8" w:rsidRDefault="00C100E8" w:rsidP="004C472A">
      <w:pPr>
        <w:spacing w:after="0"/>
        <w:rPr>
          <w:b/>
          <w:color w:val="284353"/>
          <w:lang w:val="es-PE"/>
        </w:rPr>
      </w:pPr>
    </w:p>
    <w:p w:rsidR="00742B61" w:rsidRDefault="00742B61" w:rsidP="00834830">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Viable en la adquisición de materiales y equipos, almacenaje, implementación y uso (incluir material industrial, local y/o mixto con aportes locales y municipales) pues tiene que implementarse en situaciones dramáticas en tiempo y necesidad.</w:t>
      </w:r>
    </w:p>
    <w:p w:rsidR="00742B61" w:rsidRPr="00742B61" w:rsidRDefault="00742B61" w:rsidP="00742B61">
      <w:pPr>
        <w:pStyle w:val="ListParagraph"/>
        <w:rPr>
          <w:rFonts w:asciiTheme="minorHAnsi" w:eastAsiaTheme="minorHAnsi" w:hAnsiTheme="minorHAnsi" w:cs="Calibri"/>
          <w:lang w:val="es-PE"/>
        </w:rPr>
      </w:pPr>
    </w:p>
    <w:p w:rsidR="00742B61" w:rsidRDefault="00742B61" w:rsidP="002B10D3">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Diseño y volumetría aceptada por la población y el usuario, según los usos y costumbres de la zona donde se vayan a construir.</w:t>
      </w:r>
    </w:p>
    <w:p w:rsidR="00742B61" w:rsidRPr="00742B61" w:rsidRDefault="00742B61" w:rsidP="00742B61">
      <w:pPr>
        <w:pStyle w:val="ListParagraph"/>
        <w:rPr>
          <w:rFonts w:asciiTheme="minorHAnsi" w:eastAsiaTheme="minorHAnsi" w:hAnsiTheme="minorHAnsi" w:cs="Calibri"/>
          <w:lang w:val="es-PE"/>
        </w:rPr>
      </w:pPr>
    </w:p>
    <w:p w:rsidR="00742B61" w:rsidRDefault="00742B61" w:rsidP="00DF2AB7">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Inclusión de enfoque de gestión de riesgo (reducción de vulnerabilidades por exposición y resiliencia).</w:t>
      </w:r>
    </w:p>
    <w:p w:rsidR="00742B61" w:rsidRPr="00742B61" w:rsidRDefault="00742B61" w:rsidP="00742B61">
      <w:pPr>
        <w:pStyle w:val="ListParagraph"/>
        <w:rPr>
          <w:rFonts w:asciiTheme="minorHAnsi" w:eastAsiaTheme="minorHAnsi" w:hAnsiTheme="minorHAnsi" w:cs="Calibri"/>
          <w:lang w:val="es-PE"/>
        </w:rPr>
      </w:pPr>
    </w:p>
    <w:p w:rsidR="00742B61" w:rsidRPr="00742B61" w:rsidRDefault="00742B61" w:rsidP="002D661A">
      <w:pPr>
        <w:pStyle w:val="ListParagraph"/>
        <w:numPr>
          <w:ilvl w:val="0"/>
          <w:numId w:val="15"/>
        </w:numPr>
        <w:autoSpaceDE w:val="0"/>
        <w:autoSpaceDN w:val="0"/>
        <w:adjustRightInd w:val="0"/>
        <w:spacing w:after="0" w:line="240" w:lineRule="auto"/>
        <w:ind w:left="426"/>
        <w:jc w:val="both"/>
        <w:rPr>
          <w:rFonts w:asciiTheme="minorHAnsi" w:eastAsiaTheme="minorHAnsi" w:hAnsiTheme="minorHAnsi" w:cs="Calibri"/>
          <w:lang w:val="es-PE"/>
        </w:rPr>
      </w:pPr>
      <w:r w:rsidRPr="00742B61">
        <w:rPr>
          <w:rFonts w:asciiTheme="minorHAnsi" w:eastAsiaTheme="minorHAnsi" w:hAnsiTheme="minorHAnsi" w:cs="Calibri"/>
          <w:lang w:val="es-PE"/>
        </w:rPr>
        <w:t>Incorporación de alternativas de provisión de agua segura y saneamiento (individual o colectivo), así como incorporar conexiones de electricidad, con insumos provistos por gestión propia de las autoridades locales.</w:t>
      </w:r>
    </w:p>
    <w:p w:rsidR="00742B61" w:rsidRPr="00742B61" w:rsidRDefault="00742B61" w:rsidP="004C472A">
      <w:pPr>
        <w:spacing w:after="0"/>
        <w:rPr>
          <w:b/>
          <w:color w:val="284353"/>
          <w:lang w:val="es-PE"/>
        </w:rPr>
      </w:pPr>
    </w:p>
    <w:sectPr w:rsidR="00742B61" w:rsidRPr="00742B6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BA" w:rsidRDefault="00BE50BA" w:rsidP="00736DFA">
      <w:pPr>
        <w:spacing w:after="0" w:line="240" w:lineRule="auto"/>
      </w:pPr>
      <w:r>
        <w:separator/>
      </w:r>
    </w:p>
  </w:endnote>
  <w:endnote w:type="continuationSeparator" w:id="0">
    <w:p w:rsidR="00BE50BA" w:rsidRDefault="00BE50BA" w:rsidP="0073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BA" w:rsidRDefault="00BE50BA" w:rsidP="00736DFA">
      <w:pPr>
        <w:spacing w:after="0" w:line="240" w:lineRule="auto"/>
      </w:pPr>
      <w:r>
        <w:separator/>
      </w:r>
    </w:p>
  </w:footnote>
  <w:footnote w:type="continuationSeparator" w:id="0">
    <w:p w:rsidR="00BE50BA" w:rsidRDefault="00BE50BA" w:rsidP="0073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24" w:rsidRPr="00952C90" w:rsidRDefault="00FA0F24" w:rsidP="00CE5166">
    <w:pPr>
      <w:pStyle w:val="Header"/>
      <w:ind w:firstLine="567"/>
      <w:rPr>
        <w:rFonts w:ascii="Verdana" w:hAnsi="Verdana"/>
        <w:color w:val="595959"/>
        <w:sz w:val="12"/>
        <w:szCs w:val="1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1DD"/>
    <w:multiLevelType w:val="hybridMultilevel"/>
    <w:tmpl w:val="F47495AA"/>
    <w:lvl w:ilvl="0" w:tplc="04090001">
      <w:start w:val="1"/>
      <w:numFmt w:val="bullet"/>
      <w:lvlText w:val=""/>
      <w:lvlJc w:val="left"/>
      <w:pPr>
        <w:ind w:left="720" w:hanging="360"/>
      </w:pPr>
      <w:rPr>
        <w:rFonts w:ascii="Symbol" w:hAnsi="Symbol" w:hint="default"/>
      </w:rPr>
    </w:lvl>
    <w:lvl w:ilvl="1" w:tplc="2E6AECA2">
      <w:numFmt w:val="bullet"/>
      <w:lvlText w:val="•"/>
      <w:lvlJc w:val="left"/>
      <w:pPr>
        <w:ind w:left="1440" w:hanging="360"/>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2C1D"/>
    <w:multiLevelType w:val="hybridMultilevel"/>
    <w:tmpl w:val="100E62FE"/>
    <w:lvl w:ilvl="0" w:tplc="2E6AECA2">
      <w:numFmt w:val="bullet"/>
      <w:lvlText w:val="•"/>
      <w:lvlJc w:val="left"/>
      <w:pPr>
        <w:ind w:left="1152" w:hanging="360"/>
      </w:pPr>
      <w:rPr>
        <w:rFonts w:ascii="Calibri" w:eastAsia="MS Mincho" w:hAnsi="Calibri"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75277EF"/>
    <w:multiLevelType w:val="hybridMultilevel"/>
    <w:tmpl w:val="DA3A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73E5B"/>
    <w:multiLevelType w:val="hybridMultilevel"/>
    <w:tmpl w:val="DA6619EE"/>
    <w:lvl w:ilvl="0" w:tplc="280A0005">
      <w:start w:val="1"/>
      <w:numFmt w:val="bullet"/>
      <w:lvlText w:val=""/>
      <w:lvlJc w:val="left"/>
      <w:pPr>
        <w:ind w:left="792" w:hanging="360"/>
      </w:pPr>
      <w:rPr>
        <w:rFonts w:ascii="Wingdings" w:hAnsi="Wingdings"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4">
    <w:nsid w:val="0F654087"/>
    <w:multiLevelType w:val="hybridMultilevel"/>
    <w:tmpl w:val="8AC8AFB6"/>
    <w:lvl w:ilvl="0" w:tplc="280A0005">
      <w:start w:val="1"/>
      <w:numFmt w:val="bullet"/>
      <w:lvlText w:val=""/>
      <w:lvlJc w:val="left"/>
      <w:pPr>
        <w:ind w:left="792" w:hanging="360"/>
      </w:pPr>
      <w:rPr>
        <w:rFonts w:ascii="Wingdings" w:hAnsi="Wingdings"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5">
    <w:nsid w:val="197E3392"/>
    <w:multiLevelType w:val="hybridMultilevel"/>
    <w:tmpl w:val="434E92EA"/>
    <w:lvl w:ilvl="0" w:tplc="2E6AECA2">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A4DB2"/>
    <w:multiLevelType w:val="hybridMultilevel"/>
    <w:tmpl w:val="D79C3992"/>
    <w:lvl w:ilvl="0" w:tplc="2E6AECA2">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371E2"/>
    <w:multiLevelType w:val="hybridMultilevel"/>
    <w:tmpl w:val="76E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63EE5"/>
    <w:multiLevelType w:val="hybridMultilevel"/>
    <w:tmpl w:val="14E4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73AA2"/>
    <w:multiLevelType w:val="hybridMultilevel"/>
    <w:tmpl w:val="229868BE"/>
    <w:lvl w:ilvl="0" w:tplc="280A0005">
      <w:start w:val="1"/>
      <w:numFmt w:val="bullet"/>
      <w:lvlText w:val=""/>
      <w:lvlJc w:val="left"/>
      <w:pPr>
        <w:ind w:left="792" w:hanging="360"/>
      </w:pPr>
      <w:rPr>
        <w:rFonts w:ascii="Wingdings" w:hAnsi="Wingdings"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10">
    <w:nsid w:val="4A235997"/>
    <w:multiLevelType w:val="hybridMultilevel"/>
    <w:tmpl w:val="6264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55BEB"/>
    <w:multiLevelType w:val="hybridMultilevel"/>
    <w:tmpl w:val="3246F1C6"/>
    <w:lvl w:ilvl="0" w:tplc="280A0005">
      <w:start w:val="1"/>
      <w:numFmt w:val="bullet"/>
      <w:lvlText w:val=""/>
      <w:lvlJc w:val="left"/>
      <w:pPr>
        <w:ind w:left="792" w:hanging="360"/>
      </w:pPr>
      <w:rPr>
        <w:rFonts w:ascii="Wingdings" w:hAnsi="Wingdings"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12">
    <w:nsid w:val="5CD47936"/>
    <w:multiLevelType w:val="hybridMultilevel"/>
    <w:tmpl w:val="C4A2EC1E"/>
    <w:lvl w:ilvl="0" w:tplc="2E6AECA2">
      <w:numFmt w:val="bullet"/>
      <w:lvlText w:val="•"/>
      <w:lvlJc w:val="left"/>
      <w:pPr>
        <w:ind w:left="792" w:hanging="360"/>
      </w:pPr>
      <w:rPr>
        <w:rFonts w:ascii="Calibri" w:eastAsia="MS Mincho" w:hAnsi="Calibri" w:cs="Arial" w:hint="default"/>
      </w:rPr>
    </w:lvl>
    <w:lvl w:ilvl="1" w:tplc="280A0003" w:tentative="1">
      <w:start w:val="1"/>
      <w:numFmt w:val="bullet"/>
      <w:lvlText w:val="o"/>
      <w:lvlJc w:val="left"/>
      <w:pPr>
        <w:ind w:left="1512" w:hanging="360"/>
      </w:pPr>
      <w:rPr>
        <w:rFonts w:ascii="Courier New" w:hAnsi="Courier New" w:cs="Courier New" w:hint="default"/>
      </w:rPr>
    </w:lvl>
    <w:lvl w:ilvl="2" w:tplc="280A0005" w:tentative="1">
      <w:start w:val="1"/>
      <w:numFmt w:val="bullet"/>
      <w:lvlText w:val=""/>
      <w:lvlJc w:val="left"/>
      <w:pPr>
        <w:ind w:left="2232" w:hanging="360"/>
      </w:pPr>
      <w:rPr>
        <w:rFonts w:ascii="Wingdings" w:hAnsi="Wingdings" w:hint="default"/>
      </w:rPr>
    </w:lvl>
    <w:lvl w:ilvl="3" w:tplc="280A0001" w:tentative="1">
      <w:start w:val="1"/>
      <w:numFmt w:val="bullet"/>
      <w:lvlText w:val=""/>
      <w:lvlJc w:val="left"/>
      <w:pPr>
        <w:ind w:left="2952" w:hanging="360"/>
      </w:pPr>
      <w:rPr>
        <w:rFonts w:ascii="Symbol" w:hAnsi="Symbol" w:hint="default"/>
      </w:rPr>
    </w:lvl>
    <w:lvl w:ilvl="4" w:tplc="280A0003" w:tentative="1">
      <w:start w:val="1"/>
      <w:numFmt w:val="bullet"/>
      <w:lvlText w:val="o"/>
      <w:lvlJc w:val="left"/>
      <w:pPr>
        <w:ind w:left="3672" w:hanging="360"/>
      </w:pPr>
      <w:rPr>
        <w:rFonts w:ascii="Courier New" w:hAnsi="Courier New" w:cs="Courier New" w:hint="default"/>
      </w:rPr>
    </w:lvl>
    <w:lvl w:ilvl="5" w:tplc="280A0005" w:tentative="1">
      <w:start w:val="1"/>
      <w:numFmt w:val="bullet"/>
      <w:lvlText w:val=""/>
      <w:lvlJc w:val="left"/>
      <w:pPr>
        <w:ind w:left="4392" w:hanging="360"/>
      </w:pPr>
      <w:rPr>
        <w:rFonts w:ascii="Wingdings" w:hAnsi="Wingdings" w:hint="default"/>
      </w:rPr>
    </w:lvl>
    <w:lvl w:ilvl="6" w:tplc="280A0001" w:tentative="1">
      <w:start w:val="1"/>
      <w:numFmt w:val="bullet"/>
      <w:lvlText w:val=""/>
      <w:lvlJc w:val="left"/>
      <w:pPr>
        <w:ind w:left="5112" w:hanging="360"/>
      </w:pPr>
      <w:rPr>
        <w:rFonts w:ascii="Symbol" w:hAnsi="Symbol" w:hint="default"/>
      </w:rPr>
    </w:lvl>
    <w:lvl w:ilvl="7" w:tplc="280A0003" w:tentative="1">
      <w:start w:val="1"/>
      <w:numFmt w:val="bullet"/>
      <w:lvlText w:val="o"/>
      <w:lvlJc w:val="left"/>
      <w:pPr>
        <w:ind w:left="5832" w:hanging="360"/>
      </w:pPr>
      <w:rPr>
        <w:rFonts w:ascii="Courier New" w:hAnsi="Courier New" w:cs="Courier New" w:hint="default"/>
      </w:rPr>
    </w:lvl>
    <w:lvl w:ilvl="8" w:tplc="280A0005" w:tentative="1">
      <w:start w:val="1"/>
      <w:numFmt w:val="bullet"/>
      <w:lvlText w:val=""/>
      <w:lvlJc w:val="left"/>
      <w:pPr>
        <w:ind w:left="6552" w:hanging="360"/>
      </w:pPr>
      <w:rPr>
        <w:rFonts w:ascii="Wingdings" w:hAnsi="Wingdings" w:hint="default"/>
      </w:rPr>
    </w:lvl>
  </w:abstractNum>
  <w:abstractNum w:abstractNumId="13">
    <w:nsid w:val="5D984B83"/>
    <w:multiLevelType w:val="hybridMultilevel"/>
    <w:tmpl w:val="26B2BEA4"/>
    <w:lvl w:ilvl="0" w:tplc="2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054B09"/>
    <w:multiLevelType w:val="hybridMultilevel"/>
    <w:tmpl w:val="B1B4B5FC"/>
    <w:lvl w:ilvl="0" w:tplc="2E6AECA2">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3"/>
  </w:num>
  <w:num w:numId="5">
    <w:abstractNumId w:val="0"/>
  </w:num>
  <w:num w:numId="6">
    <w:abstractNumId w:val="10"/>
  </w:num>
  <w:num w:numId="7">
    <w:abstractNumId w:val="6"/>
  </w:num>
  <w:num w:numId="8">
    <w:abstractNumId w:val="4"/>
  </w:num>
  <w:num w:numId="9">
    <w:abstractNumId w:val="9"/>
  </w:num>
  <w:num w:numId="10">
    <w:abstractNumId w:val="3"/>
  </w:num>
  <w:num w:numId="11">
    <w:abstractNumId w:val="11"/>
  </w:num>
  <w:num w:numId="12">
    <w:abstractNumId w:val="12"/>
  </w:num>
  <w:num w:numId="13">
    <w:abstractNumId w:val="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FA"/>
    <w:rsid w:val="00006E58"/>
    <w:rsid w:val="00063B40"/>
    <w:rsid w:val="00082B26"/>
    <w:rsid w:val="00182DF9"/>
    <w:rsid w:val="001C29F4"/>
    <w:rsid w:val="002300FB"/>
    <w:rsid w:val="00277E55"/>
    <w:rsid w:val="002C21A8"/>
    <w:rsid w:val="002E2F7A"/>
    <w:rsid w:val="003521A6"/>
    <w:rsid w:val="003C716D"/>
    <w:rsid w:val="003D1594"/>
    <w:rsid w:val="003E5A8D"/>
    <w:rsid w:val="00420361"/>
    <w:rsid w:val="00426418"/>
    <w:rsid w:val="00437BE2"/>
    <w:rsid w:val="004450F7"/>
    <w:rsid w:val="004C472A"/>
    <w:rsid w:val="00526F46"/>
    <w:rsid w:val="00535433"/>
    <w:rsid w:val="0054060A"/>
    <w:rsid w:val="005436E2"/>
    <w:rsid w:val="00610F9E"/>
    <w:rsid w:val="00736DFA"/>
    <w:rsid w:val="00742B61"/>
    <w:rsid w:val="00761066"/>
    <w:rsid w:val="007A2516"/>
    <w:rsid w:val="0086268F"/>
    <w:rsid w:val="00926C83"/>
    <w:rsid w:val="00946B88"/>
    <w:rsid w:val="009A54C5"/>
    <w:rsid w:val="009C4E83"/>
    <w:rsid w:val="009F5839"/>
    <w:rsid w:val="00A155DB"/>
    <w:rsid w:val="00A218ED"/>
    <w:rsid w:val="00AF5796"/>
    <w:rsid w:val="00AF6337"/>
    <w:rsid w:val="00B14832"/>
    <w:rsid w:val="00B35A5A"/>
    <w:rsid w:val="00B70D01"/>
    <w:rsid w:val="00B95277"/>
    <w:rsid w:val="00BE50BA"/>
    <w:rsid w:val="00BE7E89"/>
    <w:rsid w:val="00C100E8"/>
    <w:rsid w:val="00C316C3"/>
    <w:rsid w:val="00D7688C"/>
    <w:rsid w:val="00D97B6A"/>
    <w:rsid w:val="00DA4E66"/>
    <w:rsid w:val="00DD3EFA"/>
    <w:rsid w:val="00E23F3D"/>
    <w:rsid w:val="00E7264A"/>
    <w:rsid w:val="00E84192"/>
    <w:rsid w:val="00EA048E"/>
    <w:rsid w:val="00F144CB"/>
    <w:rsid w:val="00F329D2"/>
    <w:rsid w:val="00FA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8D"/>
    <w:pPr>
      <w:spacing w:after="200" w:line="276" w:lineRule="auto"/>
    </w:pPr>
    <w:rPr>
      <w:rFonts w:ascii="Calibri" w:eastAsia="MS Mincho" w:hAnsi="Calibri" w:cs="Arial"/>
      <w:lang w:val="en-GB"/>
    </w:rPr>
  </w:style>
  <w:style w:type="paragraph" w:styleId="Heading1">
    <w:name w:val="heading 1"/>
    <w:basedOn w:val="Normal"/>
    <w:next w:val="Normal"/>
    <w:link w:val="Heading1Char"/>
    <w:uiPriority w:val="9"/>
    <w:qFormat/>
    <w:rsid w:val="00E23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7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DFA"/>
    <w:pPr>
      <w:tabs>
        <w:tab w:val="center" w:pos="4419"/>
        <w:tab w:val="right" w:pos="8838"/>
      </w:tabs>
      <w:spacing w:after="0" w:line="240" w:lineRule="auto"/>
    </w:pPr>
  </w:style>
  <w:style w:type="character" w:customStyle="1" w:styleId="HeaderChar">
    <w:name w:val="Header Char"/>
    <w:basedOn w:val="DefaultParagraphFont"/>
    <w:link w:val="Header"/>
    <w:uiPriority w:val="99"/>
    <w:rsid w:val="00736DFA"/>
    <w:rPr>
      <w:lang w:val="es-PE"/>
    </w:rPr>
  </w:style>
  <w:style w:type="paragraph" w:styleId="Footer">
    <w:name w:val="footer"/>
    <w:basedOn w:val="Normal"/>
    <w:link w:val="FooterChar"/>
    <w:uiPriority w:val="99"/>
    <w:unhideWhenUsed/>
    <w:rsid w:val="00736DFA"/>
    <w:pPr>
      <w:tabs>
        <w:tab w:val="center" w:pos="4419"/>
        <w:tab w:val="right" w:pos="8838"/>
      </w:tabs>
      <w:spacing w:after="0" w:line="240" w:lineRule="auto"/>
    </w:pPr>
  </w:style>
  <w:style w:type="character" w:customStyle="1" w:styleId="FooterChar">
    <w:name w:val="Footer Char"/>
    <w:basedOn w:val="DefaultParagraphFont"/>
    <w:link w:val="Footer"/>
    <w:uiPriority w:val="99"/>
    <w:rsid w:val="00736DFA"/>
    <w:rPr>
      <w:lang w:val="es-PE"/>
    </w:rPr>
  </w:style>
  <w:style w:type="paragraph" w:styleId="ListParagraph">
    <w:name w:val="List Paragraph"/>
    <w:basedOn w:val="Normal"/>
    <w:uiPriority w:val="34"/>
    <w:qFormat/>
    <w:rsid w:val="00761066"/>
    <w:pPr>
      <w:ind w:left="720"/>
      <w:contextualSpacing/>
    </w:pPr>
  </w:style>
  <w:style w:type="paragraph" w:styleId="FootnoteText">
    <w:name w:val="footnote text"/>
    <w:basedOn w:val="Normal"/>
    <w:link w:val="FootnoteTextChar"/>
    <w:uiPriority w:val="99"/>
    <w:semiHidden/>
    <w:unhideWhenUsed/>
    <w:rsid w:val="004C472A"/>
    <w:pPr>
      <w:spacing w:after="0" w:line="240" w:lineRule="auto"/>
    </w:pPr>
    <w:rPr>
      <w:rFonts w:asciiTheme="minorHAnsi" w:eastAsiaTheme="minorHAnsi" w:hAnsiTheme="minorHAnsi" w:cstheme="minorBidi"/>
      <w:sz w:val="20"/>
      <w:szCs w:val="20"/>
      <w:lang w:val="es-PE"/>
    </w:rPr>
  </w:style>
  <w:style w:type="character" w:customStyle="1" w:styleId="FootnoteTextChar">
    <w:name w:val="Footnote Text Char"/>
    <w:basedOn w:val="DefaultParagraphFont"/>
    <w:link w:val="FootnoteText"/>
    <w:uiPriority w:val="99"/>
    <w:semiHidden/>
    <w:rsid w:val="004C472A"/>
    <w:rPr>
      <w:sz w:val="20"/>
      <w:szCs w:val="20"/>
      <w:lang w:val="es-PE"/>
    </w:rPr>
  </w:style>
  <w:style w:type="character" w:styleId="FootnoteReference">
    <w:name w:val="footnote reference"/>
    <w:basedOn w:val="DefaultParagraphFont"/>
    <w:uiPriority w:val="99"/>
    <w:semiHidden/>
    <w:unhideWhenUsed/>
    <w:rsid w:val="004C472A"/>
    <w:rPr>
      <w:vertAlign w:val="superscript"/>
    </w:rPr>
  </w:style>
  <w:style w:type="character" w:customStyle="1" w:styleId="apple-converted-space">
    <w:name w:val="apple-converted-space"/>
    <w:basedOn w:val="DefaultParagraphFont"/>
    <w:rsid w:val="00EA048E"/>
  </w:style>
  <w:style w:type="character" w:customStyle="1" w:styleId="Heading1Char">
    <w:name w:val="Heading 1 Char"/>
    <w:basedOn w:val="DefaultParagraphFont"/>
    <w:link w:val="Heading1"/>
    <w:uiPriority w:val="9"/>
    <w:rsid w:val="00E23F3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D97B6A"/>
    <w:rPr>
      <w:rFonts w:asciiTheme="majorHAnsi" w:eastAsiaTheme="majorEastAsia" w:hAnsiTheme="majorHAnsi" w:cstheme="majorBidi"/>
      <w:color w:val="2E74B5" w:themeColor="accent1" w:themeShade="BF"/>
      <w:sz w:val="26"/>
      <w:szCs w:val="26"/>
      <w:lang w:val="en-GB"/>
    </w:rPr>
  </w:style>
  <w:style w:type="paragraph" w:styleId="BalloonText">
    <w:name w:val="Balloon Text"/>
    <w:basedOn w:val="Normal"/>
    <w:link w:val="BalloonTextChar"/>
    <w:uiPriority w:val="99"/>
    <w:semiHidden/>
    <w:unhideWhenUsed/>
    <w:rsid w:val="00540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60A"/>
    <w:rPr>
      <w:rFonts w:ascii="Segoe UI" w:eastAsia="MS Mincho"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8D"/>
    <w:pPr>
      <w:spacing w:after="200" w:line="276" w:lineRule="auto"/>
    </w:pPr>
    <w:rPr>
      <w:rFonts w:ascii="Calibri" w:eastAsia="MS Mincho" w:hAnsi="Calibri" w:cs="Arial"/>
      <w:lang w:val="en-GB"/>
    </w:rPr>
  </w:style>
  <w:style w:type="paragraph" w:styleId="Heading1">
    <w:name w:val="heading 1"/>
    <w:basedOn w:val="Normal"/>
    <w:next w:val="Normal"/>
    <w:link w:val="Heading1Char"/>
    <w:uiPriority w:val="9"/>
    <w:qFormat/>
    <w:rsid w:val="00E23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7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DFA"/>
    <w:pPr>
      <w:tabs>
        <w:tab w:val="center" w:pos="4419"/>
        <w:tab w:val="right" w:pos="8838"/>
      </w:tabs>
      <w:spacing w:after="0" w:line="240" w:lineRule="auto"/>
    </w:pPr>
  </w:style>
  <w:style w:type="character" w:customStyle="1" w:styleId="HeaderChar">
    <w:name w:val="Header Char"/>
    <w:basedOn w:val="DefaultParagraphFont"/>
    <w:link w:val="Header"/>
    <w:uiPriority w:val="99"/>
    <w:rsid w:val="00736DFA"/>
    <w:rPr>
      <w:lang w:val="es-PE"/>
    </w:rPr>
  </w:style>
  <w:style w:type="paragraph" w:styleId="Footer">
    <w:name w:val="footer"/>
    <w:basedOn w:val="Normal"/>
    <w:link w:val="FooterChar"/>
    <w:uiPriority w:val="99"/>
    <w:unhideWhenUsed/>
    <w:rsid w:val="00736DFA"/>
    <w:pPr>
      <w:tabs>
        <w:tab w:val="center" w:pos="4419"/>
        <w:tab w:val="right" w:pos="8838"/>
      </w:tabs>
      <w:spacing w:after="0" w:line="240" w:lineRule="auto"/>
    </w:pPr>
  </w:style>
  <w:style w:type="character" w:customStyle="1" w:styleId="FooterChar">
    <w:name w:val="Footer Char"/>
    <w:basedOn w:val="DefaultParagraphFont"/>
    <w:link w:val="Footer"/>
    <w:uiPriority w:val="99"/>
    <w:rsid w:val="00736DFA"/>
    <w:rPr>
      <w:lang w:val="es-PE"/>
    </w:rPr>
  </w:style>
  <w:style w:type="paragraph" w:styleId="ListParagraph">
    <w:name w:val="List Paragraph"/>
    <w:basedOn w:val="Normal"/>
    <w:uiPriority w:val="34"/>
    <w:qFormat/>
    <w:rsid w:val="00761066"/>
    <w:pPr>
      <w:ind w:left="720"/>
      <w:contextualSpacing/>
    </w:pPr>
  </w:style>
  <w:style w:type="paragraph" w:styleId="FootnoteText">
    <w:name w:val="footnote text"/>
    <w:basedOn w:val="Normal"/>
    <w:link w:val="FootnoteTextChar"/>
    <w:uiPriority w:val="99"/>
    <w:semiHidden/>
    <w:unhideWhenUsed/>
    <w:rsid w:val="004C472A"/>
    <w:pPr>
      <w:spacing w:after="0" w:line="240" w:lineRule="auto"/>
    </w:pPr>
    <w:rPr>
      <w:rFonts w:asciiTheme="minorHAnsi" w:eastAsiaTheme="minorHAnsi" w:hAnsiTheme="minorHAnsi" w:cstheme="minorBidi"/>
      <w:sz w:val="20"/>
      <w:szCs w:val="20"/>
      <w:lang w:val="es-PE"/>
    </w:rPr>
  </w:style>
  <w:style w:type="character" w:customStyle="1" w:styleId="FootnoteTextChar">
    <w:name w:val="Footnote Text Char"/>
    <w:basedOn w:val="DefaultParagraphFont"/>
    <w:link w:val="FootnoteText"/>
    <w:uiPriority w:val="99"/>
    <w:semiHidden/>
    <w:rsid w:val="004C472A"/>
    <w:rPr>
      <w:sz w:val="20"/>
      <w:szCs w:val="20"/>
      <w:lang w:val="es-PE"/>
    </w:rPr>
  </w:style>
  <w:style w:type="character" w:styleId="FootnoteReference">
    <w:name w:val="footnote reference"/>
    <w:basedOn w:val="DefaultParagraphFont"/>
    <w:uiPriority w:val="99"/>
    <w:semiHidden/>
    <w:unhideWhenUsed/>
    <w:rsid w:val="004C472A"/>
    <w:rPr>
      <w:vertAlign w:val="superscript"/>
    </w:rPr>
  </w:style>
  <w:style w:type="character" w:customStyle="1" w:styleId="apple-converted-space">
    <w:name w:val="apple-converted-space"/>
    <w:basedOn w:val="DefaultParagraphFont"/>
    <w:rsid w:val="00EA048E"/>
  </w:style>
  <w:style w:type="character" w:customStyle="1" w:styleId="Heading1Char">
    <w:name w:val="Heading 1 Char"/>
    <w:basedOn w:val="DefaultParagraphFont"/>
    <w:link w:val="Heading1"/>
    <w:uiPriority w:val="9"/>
    <w:rsid w:val="00E23F3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D97B6A"/>
    <w:rPr>
      <w:rFonts w:asciiTheme="majorHAnsi" w:eastAsiaTheme="majorEastAsia" w:hAnsiTheme="majorHAnsi" w:cstheme="majorBidi"/>
      <w:color w:val="2E74B5" w:themeColor="accent1" w:themeShade="BF"/>
      <w:sz w:val="26"/>
      <w:szCs w:val="26"/>
      <w:lang w:val="en-GB"/>
    </w:rPr>
  </w:style>
  <w:style w:type="paragraph" w:styleId="BalloonText">
    <w:name w:val="Balloon Text"/>
    <w:basedOn w:val="Normal"/>
    <w:link w:val="BalloonTextChar"/>
    <w:uiPriority w:val="99"/>
    <w:semiHidden/>
    <w:unhideWhenUsed/>
    <w:rsid w:val="00540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60A"/>
    <w:rPr>
      <w:rFonts w:ascii="Segoe UI" w:eastAsia="MS Mincho"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108">
      <w:bodyDiv w:val="1"/>
      <w:marLeft w:val="0"/>
      <w:marRight w:val="0"/>
      <w:marTop w:val="0"/>
      <w:marBottom w:val="0"/>
      <w:divBdr>
        <w:top w:val="none" w:sz="0" w:space="0" w:color="auto"/>
        <w:left w:val="none" w:sz="0" w:space="0" w:color="auto"/>
        <w:bottom w:val="none" w:sz="0" w:space="0" w:color="auto"/>
        <w:right w:val="none" w:sz="0" w:space="0" w:color="auto"/>
      </w:divBdr>
      <w:divsChild>
        <w:div w:id="383258879">
          <w:marLeft w:val="0"/>
          <w:marRight w:val="0"/>
          <w:marTop w:val="0"/>
          <w:marBottom w:val="0"/>
          <w:divBdr>
            <w:top w:val="none" w:sz="0" w:space="0" w:color="auto"/>
            <w:left w:val="none" w:sz="0" w:space="0" w:color="auto"/>
            <w:bottom w:val="none" w:sz="0" w:space="0" w:color="auto"/>
            <w:right w:val="none" w:sz="0" w:space="0" w:color="auto"/>
          </w:divBdr>
          <w:divsChild>
            <w:div w:id="401490162">
              <w:marLeft w:val="0"/>
              <w:marRight w:val="0"/>
              <w:marTop w:val="0"/>
              <w:marBottom w:val="0"/>
              <w:divBdr>
                <w:top w:val="none" w:sz="0" w:space="0" w:color="auto"/>
                <w:left w:val="none" w:sz="0" w:space="0" w:color="auto"/>
                <w:bottom w:val="none" w:sz="0" w:space="0" w:color="auto"/>
                <w:right w:val="none" w:sz="0" w:space="0" w:color="auto"/>
              </w:divBdr>
            </w:div>
          </w:divsChild>
        </w:div>
        <w:div w:id="28261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6</Pages>
  <Words>1463</Words>
  <Characters>8341</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IFRC</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Huerta Osorio</dc:creator>
  <cp:lastModifiedBy>Anna PONT</cp:lastModifiedBy>
  <cp:revision>3</cp:revision>
  <cp:lastPrinted>2015-03-18T14:09:00Z</cp:lastPrinted>
  <dcterms:created xsi:type="dcterms:W3CDTF">2015-03-18T21:57:00Z</dcterms:created>
  <dcterms:modified xsi:type="dcterms:W3CDTF">2015-03-19T13:14:00Z</dcterms:modified>
</cp:coreProperties>
</file>