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79B" w:rsidRDefault="0069679B" w:rsidP="0069679B">
      <w:pPr>
        <w:pStyle w:val="GeneralHeading1"/>
        <w:jc w:val="center"/>
        <w:rPr>
          <w:sz w:val="24"/>
        </w:rPr>
      </w:pPr>
      <w:bookmarkStart w:id="0" w:name="DocumentBody"/>
      <w:bookmarkEnd w:id="0"/>
      <w:r>
        <w:rPr>
          <w:sz w:val="24"/>
        </w:rPr>
        <w:t xml:space="preserve">Housing, Land and Property Mapping Project </w:t>
      </w:r>
    </w:p>
    <w:p w:rsidR="0069679B" w:rsidRDefault="0069679B" w:rsidP="0069679B">
      <w:pPr>
        <w:pStyle w:val="GeneralHeading1"/>
        <w:jc w:val="center"/>
        <w:rPr>
          <w:sz w:val="24"/>
        </w:rPr>
      </w:pPr>
      <w:r>
        <w:rPr>
          <w:sz w:val="24"/>
        </w:rPr>
        <w:t>Solomon Islands</w:t>
      </w:r>
    </w:p>
    <w:p w:rsidR="0069679B" w:rsidRDefault="0069679B" w:rsidP="0069679B"/>
    <w:p w:rsidR="0069679B" w:rsidRPr="00E45152" w:rsidRDefault="0069679B" w:rsidP="0069679B">
      <w:pPr>
        <w:rPr>
          <w:b/>
          <w:sz w:val="22"/>
          <w:szCs w:val="22"/>
        </w:rPr>
      </w:pPr>
      <w:r w:rsidRPr="00E45152">
        <w:rPr>
          <w:b/>
          <w:sz w:val="22"/>
          <w:szCs w:val="22"/>
        </w:rPr>
        <w:t>Background</w:t>
      </w:r>
    </w:p>
    <w:p w:rsidR="0069679B" w:rsidRDefault="0069679B" w:rsidP="0069679B">
      <w:r>
        <w:t xml:space="preserve">The following fact sheet and research memo have been developed to provide quick and key information of the legal and procedural context relating to Housing, Land and Property (HLP) within the target country. They are intended to inform programming and emergency responses, especially those involving shelter interventions. A rapid understanding of the tenure landscape in each country context can assist in delivering stronger and more equitable </w:t>
      </w:r>
      <w:proofErr w:type="gramStart"/>
      <w:r>
        <w:t>responses,</w:t>
      </w:r>
      <w:proofErr w:type="gramEnd"/>
      <w:r>
        <w:t xml:space="preserve"> however these documents are not intended to be legal advice.</w:t>
      </w:r>
    </w:p>
    <w:p w:rsidR="0069679B" w:rsidRDefault="0069679B" w:rsidP="0069679B">
      <w:r>
        <w:t xml:space="preserve">The HLP mapping project has been undertaken by </w:t>
      </w:r>
      <w:proofErr w:type="spellStart"/>
      <w:proofErr w:type="gramStart"/>
      <w:r>
        <w:t>Allens</w:t>
      </w:r>
      <w:proofErr w:type="spellEnd"/>
      <w:proofErr w:type="gramEnd"/>
      <w:r>
        <w:t xml:space="preserve"> lawyers, using templates developed by the Australian Red Cross (ARC) and the International Federation of the Red Cross and Red Crescent Societies (IFRC). All of the research has gone through a verification process with in country lawyers and/or country experts.</w:t>
      </w:r>
    </w:p>
    <w:p w:rsidR="0069679B" w:rsidRDefault="0069679B" w:rsidP="0069679B"/>
    <w:p w:rsidR="0069679B" w:rsidRPr="00E45152" w:rsidRDefault="0069679B" w:rsidP="0069679B">
      <w:pPr>
        <w:rPr>
          <w:b/>
          <w:sz w:val="22"/>
          <w:szCs w:val="22"/>
        </w:rPr>
      </w:pPr>
      <w:r w:rsidRPr="00E45152">
        <w:rPr>
          <w:b/>
          <w:sz w:val="22"/>
          <w:szCs w:val="22"/>
        </w:rPr>
        <w:t>Document Change Management</w:t>
      </w:r>
    </w:p>
    <w:p w:rsidR="0069679B" w:rsidRDefault="0069679B" w:rsidP="0069679B">
      <w:r>
        <w:t xml:space="preserve">These documents are intended to be used and updated as necessary to ensure that they are always </w:t>
      </w:r>
      <w:proofErr w:type="gramStart"/>
      <w:r>
        <w:t>providing</w:t>
      </w:r>
      <w:proofErr w:type="gramEnd"/>
      <w:r>
        <w:t xml:space="preserve"> the most current and relevant information.  We would appreciate ongoing feedback and updates </w:t>
      </w:r>
      <w:proofErr w:type="gramStart"/>
      <w:r>
        <w:t>from</w:t>
      </w:r>
      <w:proofErr w:type="gramEnd"/>
      <w:r>
        <w:t xml:space="preserve"> those working in country, in response or preparedness.</w:t>
      </w:r>
    </w:p>
    <w:p w:rsidR="0069679B" w:rsidRDefault="0069679B" w:rsidP="0069679B">
      <w:r>
        <w:t xml:space="preserve">If you would like to make any changes to the document, please submit to the document manager Leeanne Marshall via the below table. </w:t>
      </w:r>
    </w:p>
    <w:p w:rsidR="0069679B" w:rsidRDefault="0069679B" w:rsidP="0069679B"/>
    <w:tbl>
      <w:tblPr>
        <w:tblStyle w:val="TableGrid"/>
        <w:tblW w:w="5050" w:type="pct"/>
        <w:tblLook w:val="04A0" w:firstRow="1" w:lastRow="0" w:firstColumn="1" w:lastColumn="0" w:noHBand="0" w:noVBand="1"/>
      </w:tblPr>
      <w:tblGrid>
        <w:gridCol w:w="1655"/>
        <w:gridCol w:w="2649"/>
        <w:gridCol w:w="4374"/>
        <w:gridCol w:w="990"/>
      </w:tblGrid>
      <w:tr w:rsidR="0069679B" w:rsidRPr="0069679B" w:rsidTr="0069679B">
        <w:trPr>
          <w:trHeight w:val="20"/>
        </w:trPr>
        <w:tc>
          <w:tcPr>
            <w:tcW w:w="856" w:type="pct"/>
            <w:tcBorders>
              <w:top w:val="single" w:sz="4" w:space="0" w:color="auto"/>
              <w:left w:val="single" w:sz="4" w:space="0" w:color="auto"/>
              <w:bottom w:val="single" w:sz="4" w:space="0" w:color="auto"/>
              <w:right w:val="single" w:sz="4" w:space="0" w:color="auto"/>
            </w:tcBorders>
            <w:hideMark/>
          </w:tcPr>
          <w:p w:rsidR="0069679B" w:rsidRPr="00E45152" w:rsidRDefault="0069679B">
            <w:pPr>
              <w:rPr>
                <w:b/>
              </w:rPr>
            </w:pPr>
            <w:r w:rsidRPr="00E45152">
              <w:rPr>
                <w:b/>
              </w:rPr>
              <w:t>Title</w:t>
            </w:r>
          </w:p>
        </w:tc>
        <w:tc>
          <w:tcPr>
            <w:tcW w:w="4144" w:type="pct"/>
            <w:gridSpan w:val="3"/>
            <w:tcBorders>
              <w:top w:val="single" w:sz="4" w:space="0" w:color="auto"/>
              <w:left w:val="single" w:sz="4" w:space="0" w:color="auto"/>
              <w:bottom w:val="single" w:sz="4" w:space="0" w:color="auto"/>
              <w:right w:val="single" w:sz="4" w:space="0" w:color="auto"/>
            </w:tcBorders>
            <w:hideMark/>
          </w:tcPr>
          <w:p w:rsidR="0069679B" w:rsidRPr="00E45152" w:rsidRDefault="0069679B">
            <w:r w:rsidRPr="00E45152">
              <w:t>Solomon Islands HLP Profile</w:t>
            </w:r>
          </w:p>
        </w:tc>
      </w:tr>
      <w:tr w:rsidR="0069679B" w:rsidRPr="0069679B" w:rsidTr="0069679B">
        <w:trPr>
          <w:trHeight w:val="20"/>
        </w:trPr>
        <w:tc>
          <w:tcPr>
            <w:tcW w:w="856" w:type="pct"/>
            <w:tcBorders>
              <w:top w:val="single" w:sz="4" w:space="0" w:color="auto"/>
              <w:left w:val="single" w:sz="4" w:space="0" w:color="auto"/>
              <w:bottom w:val="single" w:sz="4" w:space="0" w:color="auto"/>
              <w:right w:val="single" w:sz="4" w:space="0" w:color="auto"/>
            </w:tcBorders>
            <w:hideMark/>
          </w:tcPr>
          <w:p w:rsidR="0069679B" w:rsidRPr="00E45152" w:rsidRDefault="0069679B">
            <w:pPr>
              <w:rPr>
                <w:b/>
              </w:rPr>
            </w:pPr>
            <w:r w:rsidRPr="00E45152">
              <w:rPr>
                <w:b/>
              </w:rPr>
              <w:t>Description</w:t>
            </w:r>
          </w:p>
        </w:tc>
        <w:tc>
          <w:tcPr>
            <w:tcW w:w="4144" w:type="pct"/>
            <w:gridSpan w:val="3"/>
            <w:tcBorders>
              <w:top w:val="single" w:sz="4" w:space="0" w:color="auto"/>
              <w:left w:val="single" w:sz="4" w:space="0" w:color="auto"/>
              <w:bottom w:val="single" w:sz="4" w:space="0" w:color="auto"/>
              <w:right w:val="single" w:sz="4" w:space="0" w:color="auto"/>
            </w:tcBorders>
            <w:hideMark/>
          </w:tcPr>
          <w:p w:rsidR="0069679B" w:rsidRPr="00E45152" w:rsidRDefault="0069679B">
            <w:r w:rsidRPr="00E45152">
              <w:t>Fact Sheet and Research Memo</w:t>
            </w:r>
          </w:p>
        </w:tc>
      </w:tr>
      <w:tr w:rsidR="0069679B" w:rsidRPr="0069679B" w:rsidTr="0069679B">
        <w:trPr>
          <w:trHeight w:val="20"/>
        </w:trPr>
        <w:tc>
          <w:tcPr>
            <w:tcW w:w="856" w:type="pct"/>
            <w:tcBorders>
              <w:top w:val="single" w:sz="4" w:space="0" w:color="auto"/>
              <w:left w:val="single" w:sz="4" w:space="0" w:color="auto"/>
              <w:bottom w:val="single" w:sz="4" w:space="0" w:color="auto"/>
              <w:right w:val="single" w:sz="4" w:space="0" w:color="auto"/>
            </w:tcBorders>
            <w:hideMark/>
          </w:tcPr>
          <w:p w:rsidR="0069679B" w:rsidRPr="00E45152" w:rsidRDefault="0069679B">
            <w:pPr>
              <w:rPr>
                <w:b/>
              </w:rPr>
            </w:pPr>
            <w:r w:rsidRPr="00E45152">
              <w:rPr>
                <w:b/>
              </w:rPr>
              <w:t>Created By</w:t>
            </w:r>
          </w:p>
        </w:tc>
        <w:tc>
          <w:tcPr>
            <w:tcW w:w="4144" w:type="pct"/>
            <w:gridSpan w:val="3"/>
            <w:tcBorders>
              <w:top w:val="single" w:sz="4" w:space="0" w:color="auto"/>
              <w:left w:val="single" w:sz="4" w:space="0" w:color="auto"/>
              <w:bottom w:val="single" w:sz="4" w:space="0" w:color="auto"/>
              <w:right w:val="single" w:sz="4" w:space="0" w:color="auto"/>
            </w:tcBorders>
            <w:hideMark/>
          </w:tcPr>
          <w:p w:rsidR="0069679B" w:rsidRPr="00E45152" w:rsidRDefault="0069679B">
            <w:proofErr w:type="spellStart"/>
            <w:r w:rsidRPr="00E45152">
              <w:t>Allens</w:t>
            </w:r>
            <w:proofErr w:type="spellEnd"/>
            <w:r w:rsidRPr="00E45152">
              <w:t xml:space="preserve"> Lawyers, Australian Red Cross, IFRC</w:t>
            </w:r>
          </w:p>
        </w:tc>
      </w:tr>
      <w:tr w:rsidR="0069679B" w:rsidTr="0069679B">
        <w:trPr>
          <w:trHeight w:val="20"/>
        </w:trPr>
        <w:tc>
          <w:tcPr>
            <w:tcW w:w="856" w:type="pct"/>
            <w:tcBorders>
              <w:top w:val="single" w:sz="4" w:space="0" w:color="auto"/>
              <w:left w:val="single" w:sz="4" w:space="0" w:color="auto"/>
              <w:bottom w:val="single" w:sz="4" w:space="0" w:color="auto"/>
              <w:right w:val="single" w:sz="4" w:space="0" w:color="auto"/>
            </w:tcBorders>
            <w:hideMark/>
          </w:tcPr>
          <w:p w:rsidR="0069679B" w:rsidRPr="00E45152" w:rsidRDefault="0069679B">
            <w:pPr>
              <w:rPr>
                <w:b/>
              </w:rPr>
            </w:pPr>
            <w:r w:rsidRPr="00E45152">
              <w:rPr>
                <w:b/>
              </w:rPr>
              <w:t>Date Created</w:t>
            </w:r>
          </w:p>
        </w:tc>
        <w:tc>
          <w:tcPr>
            <w:tcW w:w="4144" w:type="pct"/>
            <w:gridSpan w:val="3"/>
            <w:tcBorders>
              <w:top w:val="single" w:sz="4" w:space="0" w:color="auto"/>
              <w:left w:val="single" w:sz="4" w:space="0" w:color="auto"/>
              <w:bottom w:val="single" w:sz="4" w:space="0" w:color="auto"/>
              <w:right w:val="single" w:sz="4" w:space="0" w:color="auto"/>
            </w:tcBorders>
            <w:hideMark/>
          </w:tcPr>
          <w:p w:rsidR="0069679B" w:rsidRPr="00E45152" w:rsidRDefault="0069679B">
            <w:r w:rsidRPr="00E45152">
              <w:t>May 2018</w:t>
            </w:r>
          </w:p>
        </w:tc>
      </w:tr>
      <w:tr w:rsidR="0069679B" w:rsidRPr="0069679B" w:rsidTr="0069679B">
        <w:trPr>
          <w:trHeight w:val="20"/>
        </w:trPr>
        <w:tc>
          <w:tcPr>
            <w:tcW w:w="856" w:type="pct"/>
            <w:tcBorders>
              <w:top w:val="single" w:sz="4" w:space="0" w:color="auto"/>
              <w:left w:val="single" w:sz="4" w:space="0" w:color="auto"/>
              <w:bottom w:val="single" w:sz="4" w:space="0" w:color="auto"/>
              <w:right w:val="single" w:sz="4" w:space="0" w:color="auto"/>
            </w:tcBorders>
            <w:hideMark/>
          </w:tcPr>
          <w:p w:rsidR="0069679B" w:rsidRPr="00E45152" w:rsidRDefault="0069679B">
            <w:pPr>
              <w:rPr>
                <w:b/>
              </w:rPr>
            </w:pPr>
            <w:r w:rsidRPr="00E45152">
              <w:rPr>
                <w:b/>
              </w:rPr>
              <w:t>Maintained by</w:t>
            </w:r>
          </w:p>
        </w:tc>
        <w:tc>
          <w:tcPr>
            <w:tcW w:w="4144" w:type="pct"/>
            <w:gridSpan w:val="3"/>
            <w:tcBorders>
              <w:top w:val="single" w:sz="4" w:space="0" w:color="auto"/>
              <w:left w:val="single" w:sz="4" w:space="0" w:color="auto"/>
              <w:bottom w:val="single" w:sz="4" w:space="0" w:color="auto"/>
              <w:right w:val="single" w:sz="4" w:space="0" w:color="auto"/>
            </w:tcBorders>
            <w:hideMark/>
          </w:tcPr>
          <w:p w:rsidR="0069679B" w:rsidRPr="00E45152" w:rsidRDefault="0069679B">
            <w:r w:rsidRPr="00E45152">
              <w:t xml:space="preserve">Leeanne Marshall </w:t>
            </w:r>
            <w:hyperlink r:id="rId9" w:history="1">
              <w:r w:rsidRPr="00E45152">
                <w:rPr>
                  <w:rStyle w:val="Hyperlink"/>
                </w:rPr>
                <w:t>lemarshall@redcross.org.au</w:t>
              </w:r>
            </w:hyperlink>
            <w:r w:rsidRPr="00E45152">
              <w:t xml:space="preserve">   </w:t>
            </w:r>
          </w:p>
        </w:tc>
      </w:tr>
      <w:tr w:rsidR="0069679B" w:rsidTr="0069679B">
        <w:trPr>
          <w:trHeight w:val="20"/>
        </w:trPr>
        <w:tc>
          <w:tcPr>
            <w:tcW w:w="856" w:type="pct"/>
            <w:tcBorders>
              <w:top w:val="single" w:sz="4" w:space="0" w:color="auto"/>
              <w:left w:val="single" w:sz="4" w:space="0" w:color="auto"/>
              <w:bottom w:val="single" w:sz="4" w:space="0" w:color="auto"/>
              <w:right w:val="single" w:sz="4" w:space="0" w:color="auto"/>
            </w:tcBorders>
            <w:hideMark/>
          </w:tcPr>
          <w:p w:rsidR="0069679B" w:rsidRPr="00E45152" w:rsidRDefault="0069679B">
            <w:pPr>
              <w:rPr>
                <w:b/>
              </w:rPr>
            </w:pPr>
            <w:r w:rsidRPr="00E45152">
              <w:rPr>
                <w:b/>
              </w:rPr>
              <w:t>Date</w:t>
            </w:r>
          </w:p>
        </w:tc>
        <w:tc>
          <w:tcPr>
            <w:tcW w:w="1370" w:type="pct"/>
            <w:tcBorders>
              <w:top w:val="single" w:sz="4" w:space="0" w:color="auto"/>
              <w:left w:val="single" w:sz="4" w:space="0" w:color="auto"/>
              <w:bottom w:val="single" w:sz="4" w:space="0" w:color="auto"/>
              <w:right w:val="single" w:sz="4" w:space="0" w:color="auto"/>
            </w:tcBorders>
            <w:hideMark/>
          </w:tcPr>
          <w:p w:rsidR="0069679B" w:rsidRPr="00E45152" w:rsidRDefault="0069679B">
            <w:pPr>
              <w:rPr>
                <w:b/>
              </w:rPr>
            </w:pPr>
            <w:r w:rsidRPr="00E45152">
              <w:rPr>
                <w:b/>
              </w:rPr>
              <w:t>Submitted by</w:t>
            </w:r>
          </w:p>
          <w:p w:rsidR="0069679B" w:rsidRPr="00E45152" w:rsidRDefault="0069679B">
            <w:r w:rsidRPr="00E45152">
              <w:t>(name, organisation, email)</w:t>
            </w:r>
          </w:p>
        </w:tc>
        <w:tc>
          <w:tcPr>
            <w:tcW w:w="2262" w:type="pct"/>
            <w:tcBorders>
              <w:top w:val="single" w:sz="4" w:space="0" w:color="auto"/>
              <w:left w:val="single" w:sz="4" w:space="0" w:color="auto"/>
              <w:bottom w:val="single" w:sz="4" w:space="0" w:color="auto"/>
              <w:right w:val="single" w:sz="4" w:space="0" w:color="auto"/>
            </w:tcBorders>
            <w:hideMark/>
          </w:tcPr>
          <w:p w:rsidR="0069679B" w:rsidRPr="00E45152" w:rsidRDefault="0069679B">
            <w:pPr>
              <w:rPr>
                <w:b/>
              </w:rPr>
            </w:pPr>
            <w:r w:rsidRPr="00E45152">
              <w:rPr>
                <w:b/>
              </w:rPr>
              <w:t>Suggested amendments</w:t>
            </w:r>
          </w:p>
          <w:p w:rsidR="0069679B" w:rsidRPr="00E45152" w:rsidRDefault="0069679B">
            <w:r w:rsidRPr="00E45152">
              <w:t>(please indicate section, paragraph, page as needed)</w:t>
            </w:r>
          </w:p>
        </w:tc>
        <w:tc>
          <w:tcPr>
            <w:tcW w:w="512" w:type="pct"/>
            <w:tcBorders>
              <w:top w:val="single" w:sz="4" w:space="0" w:color="auto"/>
              <w:left w:val="single" w:sz="4" w:space="0" w:color="auto"/>
              <w:bottom w:val="single" w:sz="4" w:space="0" w:color="auto"/>
              <w:right w:val="single" w:sz="4" w:space="0" w:color="auto"/>
            </w:tcBorders>
            <w:hideMark/>
          </w:tcPr>
          <w:p w:rsidR="0069679B" w:rsidRPr="00E45152" w:rsidRDefault="0069679B">
            <w:pPr>
              <w:rPr>
                <w:b/>
              </w:rPr>
            </w:pPr>
            <w:r w:rsidRPr="00E45152">
              <w:rPr>
                <w:b/>
              </w:rPr>
              <w:t>Status</w:t>
            </w:r>
          </w:p>
        </w:tc>
      </w:tr>
      <w:tr w:rsidR="0069679B" w:rsidTr="0069679B">
        <w:trPr>
          <w:trHeight w:val="20"/>
        </w:trPr>
        <w:tc>
          <w:tcPr>
            <w:tcW w:w="856" w:type="pct"/>
            <w:tcBorders>
              <w:top w:val="single" w:sz="4" w:space="0" w:color="auto"/>
              <w:left w:val="single" w:sz="4" w:space="0" w:color="auto"/>
              <w:bottom w:val="single" w:sz="4" w:space="0" w:color="auto"/>
              <w:right w:val="single" w:sz="4" w:space="0" w:color="auto"/>
            </w:tcBorders>
          </w:tcPr>
          <w:p w:rsidR="0069679B" w:rsidRDefault="0069679B"/>
        </w:tc>
        <w:tc>
          <w:tcPr>
            <w:tcW w:w="1370" w:type="pct"/>
            <w:tcBorders>
              <w:top w:val="single" w:sz="4" w:space="0" w:color="auto"/>
              <w:left w:val="single" w:sz="4" w:space="0" w:color="auto"/>
              <w:bottom w:val="single" w:sz="4" w:space="0" w:color="auto"/>
              <w:right w:val="single" w:sz="4" w:space="0" w:color="auto"/>
            </w:tcBorders>
          </w:tcPr>
          <w:p w:rsidR="0069679B" w:rsidRDefault="0069679B"/>
        </w:tc>
        <w:tc>
          <w:tcPr>
            <w:tcW w:w="2262" w:type="pct"/>
            <w:tcBorders>
              <w:top w:val="single" w:sz="4" w:space="0" w:color="auto"/>
              <w:left w:val="single" w:sz="4" w:space="0" w:color="auto"/>
              <w:bottom w:val="single" w:sz="4" w:space="0" w:color="auto"/>
              <w:right w:val="single" w:sz="4" w:space="0" w:color="auto"/>
            </w:tcBorders>
          </w:tcPr>
          <w:p w:rsidR="0069679B" w:rsidRDefault="0069679B"/>
        </w:tc>
        <w:tc>
          <w:tcPr>
            <w:tcW w:w="512" w:type="pct"/>
            <w:tcBorders>
              <w:top w:val="single" w:sz="4" w:space="0" w:color="auto"/>
              <w:left w:val="single" w:sz="4" w:space="0" w:color="auto"/>
              <w:bottom w:val="single" w:sz="4" w:space="0" w:color="auto"/>
              <w:right w:val="single" w:sz="4" w:space="0" w:color="auto"/>
            </w:tcBorders>
          </w:tcPr>
          <w:p w:rsidR="0069679B" w:rsidRDefault="0069679B"/>
        </w:tc>
      </w:tr>
      <w:tr w:rsidR="0069679B" w:rsidTr="0069679B">
        <w:trPr>
          <w:trHeight w:val="20"/>
        </w:trPr>
        <w:tc>
          <w:tcPr>
            <w:tcW w:w="856" w:type="pct"/>
            <w:tcBorders>
              <w:top w:val="single" w:sz="4" w:space="0" w:color="auto"/>
              <w:left w:val="single" w:sz="4" w:space="0" w:color="auto"/>
              <w:bottom w:val="single" w:sz="4" w:space="0" w:color="auto"/>
              <w:right w:val="single" w:sz="4" w:space="0" w:color="auto"/>
            </w:tcBorders>
          </w:tcPr>
          <w:p w:rsidR="0069679B" w:rsidRDefault="0069679B"/>
        </w:tc>
        <w:tc>
          <w:tcPr>
            <w:tcW w:w="1370" w:type="pct"/>
            <w:tcBorders>
              <w:top w:val="single" w:sz="4" w:space="0" w:color="auto"/>
              <w:left w:val="single" w:sz="4" w:space="0" w:color="auto"/>
              <w:bottom w:val="single" w:sz="4" w:space="0" w:color="auto"/>
              <w:right w:val="single" w:sz="4" w:space="0" w:color="auto"/>
            </w:tcBorders>
          </w:tcPr>
          <w:p w:rsidR="0069679B" w:rsidRDefault="0069679B"/>
        </w:tc>
        <w:tc>
          <w:tcPr>
            <w:tcW w:w="2262" w:type="pct"/>
            <w:tcBorders>
              <w:top w:val="single" w:sz="4" w:space="0" w:color="auto"/>
              <w:left w:val="single" w:sz="4" w:space="0" w:color="auto"/>
              <w:bottom w:val="single" w:sz="4" w:space="0" w:color="auto"/>
              <w:right w:val="single" w:sz="4" w:space="0" w:color="auto"/>
            </w:tcBorders>
          </w:tcPr>
          <w:p w:rsidR="0069679B" w:rsidRDefault="0069679B"/>
        </w:tc>
        <w:tc>
          <w:tcPr>
            <w:tcW w:w="512" w:type="pct"/>
            <w:tcBorders>
              <w:top w:val="single" w:sz="4" w:space="0" w:color="auto"/>
              <w:left w:val="single" w:sz="4" w:space="0" w:color="auto"/>
              <w:bottom w:val="single" w:sz="4" w:space="0" w:color="auto"/>
              <w:right w:val="single" w:sz="4" w:space="0" w:color="auto"/>
            </w:tcBorders>
          </w:tcPr>
          <w:p w:rsidR="0069679B" w:rsidRDefault="0069679B"/>
        </w:tc>
      </w:tr>
      <w:tr w:rsidR="0069679B" w:rsidTr="0069679B">
        <w:trPr>
          <w:trHeight w:val="20"/>
        </w:trPr>
        <w:tc>
          <w:tcPr>
            <w:tcW w:w="856" w:type="pct"/>
            <w:tcBorders>
              <w:top w:val="single" w:sz="4" w:space="0" w:color="auto"/>
              <w:left w:val="single" w:sz="4" w:space="0" w:color="auto"/>
              <w:bottom w:val="single" w:sz="4" w:space="0" w:color="auto"/>
              <w:right w:val="single" w:sz="4" w:space="0" w:color="auto"/>
            </w:tcBorders>
          </w:tcPr>
          <w:p w:rsidR="0069679B" w:rsidRDefault="0069679B"/>
        </w:tc>
        <w:tc>
          <w:tcPr>
            <w:tcW w:w="1370" w:type="pct"/>
            <w:tcBorders>
              <w:top w:val="single" w:sz="4" w:space="0" w:color="auto"/>
              <w:left w:val="single" w:sz="4" w:space="0" w:color="auto"/>
              <w:bottom w:val="single" w:sz="4" w:space="0" w:color="auto"/>
              <w:right w:val="single" w:sz="4" w:space="0" w:color="auto"/>
            </w:tcBorders>
          </w:tcPr>
          <w:p w:rsidR="0069679B" w:rsidRDefault="0069679B"/>
        </w:tc>
        <w:tc>
          <w:tcPr>
            <w:tcW w:w="2262" w:type="pct"/>
            <w:tcBorders>
              <w:top w:val="single" w:sz="4" w:space="0" w:color="auto"/>
              <w:left w:val="single" w:sz="4" w:space="0" w:color="auto"/>
              <w:bottom w:val="single" w:sz="4" w:space="0" w:color="auto"/>
              <w:right w:val="single" w:sz="4" w:space="0" w:color="auto"/>
            </w:tcBorders>
          </w:tcPr>
          <w:p w:rsidR="0069679B" w:rsidRDefault="0069679B"/>
        </w:tc>
        <w:tc>
          <w:tcPr>
            <w:tcW w:w="512" w:type="pct"/>
            <w:tcBorders>
              <w:top w:val="single" w:sz="4" w:space="0" w:color="auto"/>
              <w:left w:val="single" w:sz="4" w:space="0" w:color="auto"/>
              <w:bottom w:val="single" w:sz="4" w:space="0" w:color="auto"/>
              <w:right w:val="single" w:sz="4" w:space="0" w:color="auto"/>
            </w:tcBorders>
          </w:tcPr>
          <w:p w:rsidR="0069679B" w:rsidRDefault="0069679B"/>
        </w:tc>
      </w:tr>
      <w:tr w:rsidR="0069679B" w:rsidTr="0069679B">
        <w:trPr>
          <w:trHeight w:val="20"/>
        </w:trPr>
        <w:tc>
          <w:tcPr>
            <w:tcW w:w="856" w:type="pct"/>
            <w:tcBorders>
              <w:top w:val="single" w:sz="4" w:space="0" w:color="auto"/>
              <w:left w:val="single" w:sz="4" w:space="0" w:color="auto"/>
              <w:bottom w:val="single" w:sz="4" w:space="0" w:color="auto"/>
              <w:right w:val="single" w:sz="4" w:space="0" w:color="auto"/>
            </w:tcBorders>
          </w:tcPr>
          <w:p w:rsidR="0069679B" w:rsidRDefault="0069679B"/>
        </w:tc>
        <w:tc>
          <w:tcPr>
            <w:tcW w:w="1370" w:type="pct"/>
            <w:tcBorders>
              <w:top w:val="single" w:sz="4" w:space="0" w:color="auto"/>
              <w:left w:val="single" w:sz="4" w:space="0" w:color="auto"/>
              <w:bottom w:val="single" w:sz="4" w:space="0" w:color="auto"/>
              <w:right w:val="single" w:sz="4" w:space="0" w:color="auto"/>
            </w:tcBorders>
          </w:tcPr>
          <w:p w:rsidR="0069679B" w:rsidRDefault="0069679B"/>
        </w:tc>
        <w:tc>
          <w:tcPr>
            <w:tcW w:w="2262" w:type="pct"/>
            <w:tcBorders>
              <w:top w:val="single" w:sz="4" w:space="0" w:color="auto"/>
              <w:left w:val="single" w:sz="4" w:space="0" w:color="auto"/>
              <w:bottom w:val="single" w:sz="4" w:space="0" w:color="auto"/>
              <w:right w:val="single" w:sz="4" w:space="0" w:color="auto"/>
            </w:tcBorders>
          </w:tcPr>
          <w:p w:rsidR="0069679B" w:rsidRDefault="0069679B"/>
        </w:tc>
        <w:tc>
          <w:tcPr>
            <w:tcW w:w="512" w:type="pct"/>
            <w:tcBorders>
              <w:top w:val="single" w:sz="4" w:space="0" w:color="auto"/>
              <w:left w:val="single" w:sz="4" w:space="0" w:color="auto"/>
              <w:bottom w:val="single" w:sz="4" w:space="0" w:color="auto"/>
              <w:right w:val="single" w:sz="4" w:space="0" w:color="auto"/>
            </w:tcBorders>
          </w:tcPr>
          <w:p w:rsidR="0069679B" w:rsidRDefault="0069679B"/>
        </w:tc>
      </w:tr>
      <w:tr w:rsidR="0069679B" w:rsidTr="0069679B">
        <w:trPr>
          <w:trHeight w:val="20"/>
        </w:trPr>
        <w:tc>
          <w:tcPr>
            <w:tcW w:w="856" w:type="pct"/>
            <w:tcBorders>
              <w:top w:val="single" w:sz="4" w:space="0" w:color="auto"/>
              <w:left w:val="single" w:sz="4" w:space="0" w:color="auto"/>
              <w:bottom w:val="single" w:sz="4" w:space="0" w:color="auto"/>
              <w:right w:val="single" w:sz="4" w:space="0" w:color="auto"/>
            </w:tcBorders>
          </w:tcPr>
          <w:p w:rsidR="0069679B" w:rsidRDefault="0069679B"/>
        </w:tc>
        <w:tc>
          <w:tcPr>
            <w:tcW w:w="1370" w:type="pct"/>
            <w:tcBorders>
              <w:top w:val="single" w:sz="4" w:space="0" w:color="auto"/>
              <w:left w:val="single" w:sz="4" w:space="0" w:color="auto"/>
              <w:bottom w:val="single" w:sz="4" w:space="0" w:color="auto"/>
              <w:right w:val="single" w:sz="4" w:space="0" w:color="auto"/>
            </w:tcBorders>
          </w:tcPr>
          <w:p w:rsidR="0069679B" w:rsidRDefault="0069679B"/>
        </w:tc>
        <w:tc>
          <w:tcPr>
            <w:tcW w:w="2262" w:type="pct"/>
            <w:tcBorders>
              <w:top w:val="single" w:sz="4" w:space="0" w:color="auto"/>
              <w:left w:val="single" w:sz="4" w:space="0" w:color="auto"/>
              <w:bottom w:val="single" w:sz="4" w:space="0" w:color="auto"/>
              <w:right w:val="single" w:sz="4" w:space="0" w:color="auto"/>
            </w:tcBorders>
          </w:tcPr>
          <w:p w:rsidR="0069679B" w:rsidRDefault="0069679B"/>
        </w:tc>
        <w:tc>
          <w:tcPr>
            <w:tcW w:w="512" w:type="pct"/>
            <w:tcBorders>
              <w:top w:val="single" w:sz="4" w:space="0" w:color="auto"/>
              <w:left w:val="single" w:sz="4" w:space="0" w:color="auto"/>
              <w:bottom w:val="single" w:sz="4" w:space="0" w:color="auto"/>
              <w:right w:val="single" w:sz="4" w:space="0" w:color="auto"/>
            </w:tcBorders>
          </w:tcPr>
          <w:p w:rsidR="0069679B" w:rsidRDefault="0069679B"/>
        </w:tc>
      </w:tr>
      <w:tr w:rsidR="0069679B" w:rsidTr="0069679B">
        <w:trPr>
          <w:trHeight w:val="20"/>
        </w:trPr>
        <w:tc>
          <w:tcPr>
            <w:tcW w:w="856" w:type="pct"/>
            <w:tcBorders>
              <w:top w:val="single" w:sz="4" w:space="0" w:color="auto"/>
              <w:left w:val="single" w:sz="4" w:space="0" w:color="auto"/>
              <w:bottom w:val="single" w:sz="4" w:space="0" w:color="auto"/>
              <w:right w:val="single" w:sz="4" w:space="0" w:color="auto"/>
            </w:tcBorders>
          </w:tcPr>
          <w:p w:rsidR="0069679B" w:rsidRDefault="0069679B"/>
        </w:tc>
        <w:tc>
          <w:tcPr>
            <w:tcW w:w="1370" w:type="pct"/>
            <w:tcBorders>
              <w:top w:val="single" w:sz="4" w:space="0" w:color="auto"/>
              <w:left w:val="single" w:sz="4" w:space="0" w:color="auto"/>
              <w:bottom w:val="single" w:sz="4" w:space="0" w:color="auto"/>
              <w:right w:val="single" w:sz="4" w:space="0" w:color="auto"/>
            </w:tcBorders>
          </w:tcPr>
          <w:p w:rsidR="0069679B" w:rsidRDefault="0069679B"/>
        </w:tc>
        <w:tc>
          <w:tcPr>
            <w:tcW w:w="2262" w:type="pct"/>
            <w:tcBorders>
              <w:top w:val="single" w:sz="4" w:space="0" w:color="auto"/>
              <w:left w:val="single" w:sz="4" w:space="0" w:color="auto"/>
              <w:bottom w:val="single" w:sz="4" w:space="0" w:color="auto"/>
              <w:right w:val="single" w:sz="4" w:space="0" w:color="auto"/>
            </w:tcBorders>
          </w:tcPr>
          <w:p w:rsidR="0069679B" w:rsidRDefault="0069679B"/>
        </w:tc>
        <w:tc>
          <w:tcPr>
            <w:tcW w:w="512" w:type="pct"/>
            <w:tcBorders>
              <w:top w:val="single" w:sz="4" w:space="0" w:color="auto"/>
              <w:left w:val="single" w:sz="4" w:space="0" w:color="auto"/>
              <w:bottom w:val="single" w:sz="4" w:space="0" w:color="auto"/>
              <w:right w:val="single" w:sz="4" w:space="0" w:color="auto"/>
            </w:tcBorders>
          </w:tcPr>
          <w:p w:rsidR="0069679B" w:rsidRDefault="0069679B"/>
        </w:tc>
      </w:tr>
      <w:tr w:rsidR="0069679B" w:rsidTr="0069679B">
        <w:trPr>
          <w:trHeight w:val="20"/>
        </w:trPr>
        <w:tc>
          <w:tcPr>
            <w:tcW w:w="856" w:type="pct"/>
            <w:tcBorders>
              <w:top w:val="single" w:sz="4" w:space="0" w:color="auto"/>
              <w:left w:val="single" w:sz="4" w:space="0" w:color="auto"/>
              <w:bottom w:val="single" w:sz="4" w:space="0" w:color="auto"/>
              <w:right w:val="single" w:sz="4" w:space="0" w:color="auto"/>
            </w:tcBorders>
          </w:tcPr>
          <w:p w:rsidR="0069679B" w:rsidRDefault="0069679B"/>
        </w:tc>
        <w:tc>
          <w:tcPr>
            <w:tcW w:w="1370" w:type="pct"/>
            <w:tcBorders>
              <w:top w:val="single" w:sz="4" w:space="0" w:color="auto"/>
              <w:left w:val="single" w:sz="4" w:space="0" w:color="auto"/>
              <w:bottom w:val="single" w:sz="4" w:space="0" w:color="auto"/>
              <w:right w:val="single" w:sz="4" w:space="0" w:color="auto"/>
            </w:tcBorders>
          </w:tcPr>
          <w:p w:rsidR="0069679B" w:rsidRDefault="0069679B"/>
        </w:tc>
        <w:tc>
          <w:tcPr>
            <w:tcW w:w="2262" w:type="pct"/>
            <w:tcBorders>
              <w:top w:val="single" w:sz="4" w:space="0" w:color="auto"/>
              <w:left w:val="single" w:sz="4" w:space="0" w:color="auto"/>
              <w:bottom w:val="single" w:sz="4" w:space="0" w:color="auto"/>
              <w:right w:val="single" w:sz="4" w:space="0" w:color="auto"/>
            </w:tcBorders>
          </w:tcPr>
          <w:p w:rsidR="0069679B" w:rsidRDefault="0069679B"/>
        </w:tc>
        <w:tc>
          <w:tcPr>
            <w:tcW w:w="512" w:type="pct"/>
            <w:tcBorders>
              <w:top w:val="single" w:sz="4" w:space="0" w:color="auto"/>
              <w:left w:val="single" w:sz="4" w:space="0" w:color="auto"/>
              <w:bottom w:val="single" w:sz="4" w:space="0" w:color="auto"/>
              <w:right w:val="single" w:sz="4" w:space="0" w:color="auto"/>
            </w:tcBorders>
          </w:tcPr>
          <w:p w:rsidR="0069679B" w:rsidRDefault="0069679B"/>
        </w:tc>
      </w:tr>
    </w:tbl>
    <w:p w:rsidR="001636E1" w:rsidRPr="001636E1" w:rsidRDefault="001636E1" w:rsidP="007211D0">
      <w:pPr>
        <w:pStyle w:val="GeneralHeading1"/>
        <w:jc w:val="center"/>
      </w:pPr>
      <w:r w:rsidRPr="001636E1">
        <w:lastRenderedPageBreak/>
        <w:t>H</w:t>
      </w:r>
      <w:r w:rsidR="00CB348E">
        <w:t>ousing, Land and Property Law</w:t>
      </w:r>
      <w:r w:rsidRPr="001636E1">
        <w:t xml:space="preserve"> in </w:t>
      </w:r>
      <w:r w:rsidR="00A45155">
        <w:t>Solomon Islands</w:t>
      </w:r>
    </w:p>
    <w:p w:rsidR="005F4174" w:rsidRPr="005314E6" w:rsidRDefault="005314E6" w:rsidP="005314E6">
      <w:pPr>
        <w:rPr>
          <w:b/>
          <w:sz w:val="22"/>
          <w:szCs w:val="22"/>
        </w:rPr>
      </w:pPr>
      <w:bookmarkStart w:id="1" w:name="_Toc512951174"/>
      <w:bookmarkStart w:id="2" w:name="_Ref512951624"/>
      <w:bookmarkStart w:id="3" w:name="_Toc512960912"/>
      <w:bookmarkStart w:id="4" w:name="_Toc512960964"/>
      <w:bookmarkStart w:id="5" w:name="_Toc512961573"/>
      <w:bookmarkStart w:id="6" w:name="_Toc512961906"/>
      <w:r>
        <w:rPr>
          <w:b/>
          <w:sz w:val="22"/>
          <w:szCs w:val="22"/>
        </w:rPr>
        <w:t>1</w:t>
      </w:r>
      <w:r w:rsidRPr="005314E6">
        <w:rPr>
          <w:b/>
          <w:sz w:val="22"/>
          <w:szCs w:val="22"/>
        </w:rPr>
        <w:tab/>
      </w:r>
      <w:r w:rsidR="005F4174" w:rsidRPr="005314E6">
        <w:rPr>
          <w:b/>
          <w:sz w:val="22"/>
          <w:szCs w:val="22"/>
        </w:rPr>
        <w:t>Key laws and act</w:t>
      </w:r>
      <w:bookmarkStart w:id="7" w:name="_GoBack"/>
      <w:bookmarkEnd w:id="7"/>
      <w:r w:rsidR="005F4174" w:rsidRPr="005314E6">
        <w:rPr>
          <w:b/>
          <w:sz w:val="22"/>
          <w:szCs w:val="22"/>
        </w:rPr>
        <w:t>ors</w:t>
      </w:r>
      <w:bookmarkEnd w:id="1"/>
      <w:bookmarkEnd w:id="2"/>
      <w:bookmarkEnd w:id="3"/>
      <w:bookmarkEnd w:id="4"/>
      <w:bookmarkEnd w:id="5"/>
      <w:bookmarkEnd w:id="6"/>
    </w:p>
    <w:tbl>
      <w:tblPr>
        <w:tblStyle w:val="TableGrid"/>
        <w:tblW w:w="0" w:type="auto"/>
        <w:tblInd w:w="108" w:type="dxa"/>
        <w:tblLook w:val="04A0" w:firstRow="1" w:lastRow="0" w:firstColumn="1" w:lastColumn="0" w:noHBand="0" w:noVBand="1"/>
      </w:tblPr>
      <w:tblGrid>
        <w:gridCol w:w="1701"/>
        <w:gridCol w:w="7763"/>
      </w:tblGrid>
      <w:tr w:rsidR="005F4174" w:rsidRPr="00485B2C" w:rsidTr="00FF0C29">
        <w:tc>
          <w:tcPr>
            <w:tcW w:w="1701" w:type="dxa"/>
            <w:shd w:val="clear" w:color="auto" w:fill="auto"/>
          </w:tcPr>
          <w:p w:rsidR="005F4174" w:rsidRPr="005314E6" w:rsidRDefault="00C42C2B" w:rsidP="005314E6">
            <w:hyperlink w:anchor="Laws" w:history="1">
              <w:bookmarkStart w:id="8" w:name="_Toc512951175"/>
              <w:bookmarkStart w:id="9" w:name="_Toc512960913"/>
              <w:bookmarkStart w:id="10" w:name="_Toc512960965"/>
              <w:bookmarkStart w:id="11" w:name="_Toc512961574"/>
              <w:bookmarkStart w:id="12" w:name="_Toc512961907"/>
              <w:r w:rsidR="005F4174" w:rsidRPr="005314E6">
                <w:rPr>
                  <w:rStyle w:val="Hyperlink"/>
                </w:rPr>
                <w:t>Laws</w:t>
              </w:r>
              <w:bookmarkEnd w:id="8"/>
              <w:bookmarkEnd w:id="9"/>
              <w:bookmarkEnd w:id="10"/>
              <w:bookmarkEnd w:id="11"/>
              <w:bookmarkEnd w:id="12"/>
            </w:hyperlink>
          </w:p>
        </w:tc>
        <w:tc>
          <w:tcPr>
            <w:tcW w:w="7763" w:type="dxa"/>
            <w:shd w:val="clear" w:color="auto" w:fill="auto"/>
          </w:tcPr>
          <w:p w:rsidR="005F4174" w:rsidRPr="00485B2C" w:rsidRDefault="005F4174" w:rsidP="00274853">
            <w:r w:rsidRPr="00485B2C">
              <w:t xml:space="preserve">The main laws governing land and housing are the </w:t>
            </w:r>
            <w:hyperlink r:id="rId10" w:history="1">
              <w:r w:rsidRPr="00485B2C">
                <w:rPr>
                  <w:rStyle w:val="Hyperlink"/>
                  <w:i/>
                </w:rPr>
                <w:t>Constitution</w:t>
              </w:r>
            </w:hyperlink>
            <w:r w:rsidRPr="00485B2C">
              <w:t xml:space="preserve">, the </w:t>
            </w:r>
            <w:hyperlink r:id="rId11" w:history="1">
              <w:r w:rsidR="00B0651A" w:rsidRPr="00485B2C">
                <w:rPr>
                  <w:rStyle w:val="Hyperlink"/>
                  <w:i/>
                </w:rPr>
                <w:t>Land and Titles Act</w:t>
              </w:r>
            </w:hyperlink>
            <w:r w:rsidRPr="00485B2C">
              <w:t xml:space="preserve">, </w:t>
            </w:r>
            <w:r w:rsidR="00BE45D9" w:rsidRPr="00485B2C">
              <w:t xml:space="preserve">and the </w:t>
            </w:r>
            <w:hyperlink r:id="rId12" w:history="1">
              <w:r w:rsidR="00BE45D9" w:rsidRPr="00485B2C">
                <w:rPr>
                  <w:rStyle w:val="Hyperlink"/>
                  <w:i/>
                </w:rPr>
                <w:t>Customary Land Records Act</w:t>
              </w:r>
            </w:hyperlink>
            <w:r w:rsidR="00BE45D9" w:rsidRPr="00485B2C">
              <w:t xml:space="preserve">. </w:t>
            </w:r>
          </w:p>
        </w:tc>
      </w:tr>
      <w:tr w:rsidR="005F4174" w:rsidRPr="00485B2C" w:rsidTr="00FF0C29">
        <w:tc>
          <w:tcPr>
            <w:tcW w:w="1701" w:type="dxa"/>
            <w:shd w:val="clear" w:color="auto" w:fill="auto"/>
          </w:tcPr>
          <w:p w:rsidR="005F4174" w:rsidRPr="005314E6" w:rsidRDefault="00C42C2B" w:rsidP="005314E6">
            <w:hyperlink w:anchor="Actors" w:history="1">
              <w:bookmarkStart w:id="13" w:name="_Toc512951176"/>
              <w:bookmarkStart w:id="14" w:name="_Toc512960914"/>
              <w:bookmarkStart w:id="15" w:name="_Toc512960966"/>
              <w:bookmarkStart w:id="16" w:name="_Toc512961575"/>
              <w:bookmarkStart w:id="17" w:name="_Toc512961908"/>
              <w:r w:rsidR="005F4174" w:rsidRPr="005314E6">
                <w:rPr>
                  <w:rStyle w:val="Hyperlink"/>
                </w:rPr>
                <w:t>Key government actors</w:t>
              </w:r>
              <w:bookmarkEnd w:id="13"/>
              <w:bookmarkEnd w:id="14"/>
              <w:bookmarkEnd w:id="15"/>
              <w:bookmarkEnd w:id="16"/>
              <w:bookmarkEnd w:id="17"/>
            </w:hyperlink>
          </w:p>
        </w:tc>
        <w:tc>
          <w:tcPr>
            <w:tcW w:w="7763" w:type="dxa"/>
            <w:shd w:val="clear" w:color="auto" w:fill="auto"/>
          </w:tcPr>
          <w:p w:rsidR="005F4174" w:rsidRPr="00485B2C" w:rsidRDefault="005F4174" w:rsidP="00274853">
            <w:r w:rsidRPr="00485B2C">
              <w:t>T</w:t>
            </w:r>
            <w:r w:rsidR="00BE45D9" w:rsidRPr="00485B2C">
              <w:t xml:space="preserve">he </w:t>
            </w:r>
            <w:hyperlink r:id="rId13" w:history="1">
              <w:r w:rsidR="00BE45D9" w:rsidRPr="00485B2C">
                <w:rPr>
                  <w:rStyle w:val="Hyperlink"/>
                </w:rPr>
                <w:t>Ministry of Lands, Housing and Survey</w:t>
              </w:r>
            </w:hyperlink>
            <w:r w:rsidR="00BE45D9" w:rsidRPr="00485B2C">
              <w:t xml:space="preserve"> </w:t>
            </w:r>
            <w:r w:rsidR="00570A76" w:rsidRPr="00485B2C">
              <w:t>is responsible</w:t>
            </w:r>
            <w:r w:rsidR="00BE45D9" w:rsidRPr="00485B2C">
              <w:t xml:space="preserve"> for</w:t>
            </w:r>
            <w:r w:rsidR="00570A76" w:rsidRPr="00485B2C">
              <w:t xml:space="preserve"> </w:t>
            </w:r>
            <w:r w:rsidRPr="00485B2C">
              <w:t xml:space="preserve">land administration. </w:t>
            </w:r>
            <w:r w:rsidR="00BE45D9" w:rsidRPr="00485B2C">
              <w:t xml:space="preserve">The Ministry is made up of seven divisions, including the Land Administration and Management Group, the Government Housing Division and the Land Reform Division. The Ministry also contains the Land Board, which has power to make decisions relating to </w:t>
            </w:r>
            <w:r w:rsidR="00F26EE4" w:rsidRPr="00485B2C">
              <w:t>the allocation</w:t>
            </w:r>
            <w:r w:rsidR="00341EDD" w:rsidRPr="00485B2C">
              <w:t xml:space="preserve"> of</w:t>
            </w:r>
            <w:r w:rsidR="00F26EE4" w:rsidRPr="00485B2C">
              <w:t xml:space="preserve"> </w:t>
            </w:r>
            <w:r w:rsidR="00BE45D9" w:rsidRPr="00485B2C">
              <w:t>interests in registered land.</w:t>
            </w:r>
          </w:p>
          <w:p w:rsidR="00F26EE4" w:rsidRPr="00485B2C" w:rsidRDefault="00F26EE4" w:rsidP="00274853">
            <w:r w:rsidRPr="00485B2C">
              <w:t>There is a Land Register, which is maintained by the Register of Titles. This falls under the Ministry of Justice and Legal Affairs.</w:t>
            </w:r>
          </w:p>
          <w:p w:rsidR="008C3672" w:rsidRPr="00485B2C" w:rsidRDefault="008C3672" w:rsidP="00274853">
            <w:r w:rsidRPr="00485B2C">
              <w:t xml:space="preserve">The </w:t>
            </w:r>
            <w:hyperlink r:id="rId14" w:history="1">
              <w:r w:rsidRPr="00050E82">
                <w:rPr>
                  <w:rStyle w:val="Hyperlink"/>
                </w:rPr>
                <w:t>Solomon Islands Natio</w:t>
              </w:r>
              <w:r w:rsidR="00557509" w:rsidRPr="00050E82">
                <w:rPr>
                  <w:rStyle w:val="Hyperlink"/>
                </w:rPr>
                <w:t>nal Disa</w:t>
              </w:r>
              <w:r w:rsidRPr="00050E82">
                <w:rPr>
                  <w:rStyle w:val="Hyperlink"/>
                </w:rPr>
                <w:t>ster Management Office</w:t>
              </w:r>
            </w:hyperlink>
            <w:r w:rsidRPr="00485B2C">
              <w:t xml:space="preserve"> chairs the National Disaster Operations Committee</w:t>
            </w:r>
            <w:r w:rsidR="00557509" w:rsidRPr="00485B2C">
              <w:t xml:space="preserve"> (</w:t>
            </w:r>
            <w:r w:rsidR="00557509" w:rsidRPr="00485B2C">
              <w:rPr>
                <w:b/>
                <w:i/>
              </w:rPr>
              <w:t>N-DOC</w:t>
            </w:r>
            <w:r w:rsidR="00557509" w:rsidRPr="00485B2C">
              <w:t>). The Ministry of Infrastructure Development chairs the Infrastructure Committee with</w:t>
            </w:r>
            <w:r w:rsidR="007C737C" w:rsidRPr="00485B2C">
              <w:t>in the N-DOC.</w:t>
            </w:r>
          </w:p>
        </w:tc>
      </w:tr>
      <w:tr w:rsidR="005F4174" w:rsidRPr="00485B2C" w:rsidTr="00FF0C29">
        <w:tc>
          <w:tcPr>
            <w:tcW w:w="1701" w:type="dxa"/>
            <w:shd w:val="clear" w:color="auto" w:fill="auto"/>
          </w:tcPr>
          <w:p w:rsidR="005F4174" w:rsidRPr="005314E6" w:rsidRDefault="00C42C2B" w:rsidP="005314E6">
            <w:hyperlink w:anchor="Shelter_Cluster" w:history="1">
              <w:bookmarkStart w:id="18" w:name="_Toc512951177"/>
              <w:bookmarkStart w:id="19" w:name="_Toc512960915"/>
              <w:bookmarkStart w:id="20" w:name="_Toc512960967"/>
              <w:bookmarkStart w:id="21" w:name="_Toc512961576"/>
              <w:bookmarkStart w:id="22" w:name="_Toc512961909"/>
              <w:r w:rsidR="005F4174" w:rsidRPr="005314E6">
                <w:rPr>
                  <w:rStyle w:val="Hyperlink"/>
                </w:rPr>
                <w:t>Shelter cluster</w:t>
              </w:r>
              <w:bookmarkEnd w:id="18"/>
              <w:bookmarkEnd w:id="19"/>
              <w:bookmarkEnd w:id="20"/>
              <w:bookmarkEnd w:id="21"/>
              <w:bookmarkEnd w:id="22"/>
            </w:hyperlink>
          </w:p>
        </w:tc>
        <w:tc>
          <w:tcPr>
            <w:tcW w:w="7763" w:type="dxa"/>
            <w:shd w:val="clear" w:color="auto" w:fill="auto"/>
          </w:tcPr>
          <w:p w:rsidR="005F4174" w:rsidRPr="00485B2C" w:rsidRDefault="00485B2C" w:rsidP="00274853">
            <w:r w:rsidRPr="00485B2C">
              <w:t xml:space="preserve">A shelter cluster was first established in 2009 and was used in response to 2014 flooding. </w:t>
            </w:r>
            <w:r w:rsidR="007C737C" w:rsidRPr="00485B2C">
              <w:t xml:space="preserve">In 2017, as part of a review into the National Disaster Risk Management Plan, it was </w:t>
            </w:r>
            <w:r w:rsidR="00557509" w:rsidRPr="00485B2C">
              <w:t xml:space="preserve">proposed to replace this system with a </w:t>
            </w:r>
            <w:r w:rsidR="00C438CA" w:rsidRPr="00485B2C">
              <w:t xml:space="preserve"> </w:t>
            </w:r>
            <w:r w:rsidR="008C3672" w:rsidRPr="00485B2C">
              <w:t>Shelter Sub-Committee</w:t>
            </w:r>
            <w:r w:rsidR="00557509" w:rsidRPr="00485B2C">
              <w:t>,</w:t>
            </w:r>
            <w:r w:rsidR="008C3672" w:rsidRPr="00485B2C">
              <w:t xml:space="preserve"> established under the Infrastructure Committee which forms part of the </w:t>
            </w:r>
            <w:r w:rsidR="007C737C" w:rsidRPr="00485B2C">
              <w:t>N-DOC</w:t>
            </w:r>
            <w:r w:rsidR="008C3672" w:rsidRPr="00485B2C">
              <w:t>.</w:t>
            </w:r>
          </w:p>
        </w:tc>
      </w:tr>
    </w:tbl>
    <w:p w:rsidR="005F4174" w:rsidRPr="005314E6" w:rsidRDefault="005314E6" w:rsidP="005314E6">
      <w:pPr>
        <w:rPr>
          <w:b/>
          <w:sz w:val="22"/>
          <w:szCs w:val="22"/>
        </w:rPr>
      </w:pPr>
      <w:r w:rsidRPr="005314E6">
        <w:rPr>
          <w:b/>
          <w:sz w:val="22"/>
          <w:szCs w:val="22"/>
        </w:rPr>
        <w:t>2</w:t>
      </w:r>
      <w:r w:rsidRPr="005314E6">
        <w:rPr>
          <w:b/>
          <w:sz w:val="22"/>
          <w:szCs w:val="22"/>
        </w:rPr>
        <w:tab/>
      </w:r>
      <w:hyperlink w:anchor="Common_Types_of_Tenure" w:history="1">
        <w:bookmarkStart w:id="23" w:name="_Toc512951178"/>
        <w:bookmarkStart w:id="24" w:name="_Toc512960916"/>
        <w:bookmarkStart w:id="25" w:name="_Toc512960968"/>
        <w:bookmarkStart w:id="26" w:name="_Toc512961577"/>
        <w:bookmarkStart w:id="27" w:name="_Toc512961910"/>
        <w:r w:rsidR="001636E1" w:rsidRPr="005314E6">
          <w:rPr>
            <w:rStyle w:val="Hyperlink"/>
            <w:b/>
            <w:color w:val="auto"/>
            <w:sz w:val="22"/>
            <w:szCs w:val="22"/>
            <w:u w:val="none"/>
          </w:rPr>
          <w:t>Common types of tenure</w:t>
        </w:r>
        <w:bookmarkEnd w:id="23"/>
        <w:bookmarkEnd w:id="24"/>
        <w:bookmarkEnd w:id="25"/>
        <w:bookmarkEnd w:id="26"/>
        <w:bookmarkEnd w:id="27"/>
      </w:hyperlink>
    </w:p>
    <w:p w:rsidR="00095B77" w:rsidRDefault="00095B77" w:rsidP="00274853">
      <w:pPr>
        <w:pStyle w:val="NormalIndent"/>
        <w:ind w:left="0"/>
      </w:pPr>
      <w:proofErr w:type="gramStart"/>
      <w:r w:rsidRPr="00485B2C">
        <w:t>Land in the Solomon Islands falls into two categories: customary land and registered land, which is also known as alienated land.</w:t>
      </w:r>
      <w:proofErr w:type="gramEnd"/>
      <w:r w:rsidRPr="00485B2C">
        <w:t xml:space="preserve"> Around 87% of land in Solomon Islands is customary land. Registered land is most common in urban areas, whereas customary land is more common outside these areas. The table below summarises the most common types of</w:t>
      </w:r>
      <w:r>
        <w:t xml:space="preserve"> tenure in the Solomon Islands.</w:t>
      </w:r>
    </w:p>
    <w:tbl>
      <w:tblPr>
        <w:tblStyle w:val="TableGrid1"/>
        <w:tblW w:w="0" w:type="auto"/>
        <w:tblInd w:w="108" w:type="dxa"/>
        <w:tblLayout w:type="fixed"/>
        <w:tblLook w:val="04A0" w:firstRow="1" w:lastRow="0" w:firstColumn="1" w:lastColumn="0" w:noHBand="0" w:noVBand="1"/>
      </w:tblPr>
      <w:tblGrid>
        <w:gridCol w:w="1317"/>
        <w:gridCol w:w="1372"/>
        <w:gridCol w:w="5533"/>
        <w:gridCol w:w="1242"/>
      </w:tblGrid>
      <w:tr w:rsidR="00095B77" w:rsidRPr="00485B2C" w:rsidTr="00FC0D13">
        <w:tc>
          <w:tcPr>
            <w:tcW w:w="1317" w:type="dxa"/>
            <w:tcBorders>
              <w:top w:val="single" w:sz="4" w:space="0" w:color="auto"/>
              <w:left w:val="nil"/>
              <w:bottom w:val="nil"/>
              <w:right w:val="single" w:sz="4" w:space="0" w:color="FFFFFF" w:themeColor="background1"/>
            </w:tcBorders>
            <w:shd w:val="solid" w:color="auto" w:fill="auto"/>
          </w:tcPr>
          <w:p w:rsidR="00095B77" w:rsidRPr="00485B2C" w:rsidRDefault="00095B77" w:rsidP="00274853">
            <w:pPr>
              <w:spacing w:line="276" w:lineRule="auto"/>
              <w:rPr>
                <w:rFonts w:cs="Arial"/>
                <w:b/>
              </w:rPr>
            </w:pPr>
            <w:r w:rsidRPr="00485B2C">
              <w:rPr>
                <w:rFonts w:cs="Arial"/>
                <w:b/>
              </w:rPr>
              <w:t>Tenure</w:t>
            </w:r>
          </w:p>
        </w:tc>
        <w:tc>
          <w:tcPr>
            <w:tcW w:w="1372" w:type="dxa"/>
            <w:tcBorders>
              <w:top w:val="single" w:sz="4" w:space="0" w:color="auto"/>
              <w:left w:val="single" w:sz="4" w:space="0" w:color="FFFFFF" w:themeColor="background1"/>
              <w:bottom w:val="nil"/>
              <w:right w:val="single" w:sz="4" w:space="0" w:color="FFFFFF" w:themeColor="background1"/>
            </w:tcBorders>
            <w:shd w:val="solid" w:color="auto" w:fill="auto"/>
          </w:tcPr>
          <w:p w:rsidR="00095B77" w:rsidRPr="00485B2C" w:rsidRDefault="00095B77" w:rsidP="00274853">
            <w:pPr>
              <w:spacing w:line="276" w:lineRule="auto"/>
              <w:rPr>
                <w:b/>
              </w:rPr>
            </w:pPr>
            <w:r w:rsidRPr="00485B2C">
              <w:rPr>
                <w:b/>
              </w:rPr>
              <w:t>Commonly Registered?</w:t>
            </w:r>
          </w:p>
        </w:tc>
        <w:tc>
          <w:tcPr>
            <w:tcW w:w="5533" w:type="dxa"/>
            <w:tcBorders>
              <w:top w:val="single" w:sz="4" w:space="0" w:color="auto"/>
              <w:left w:val="single" w:sz="4" w:space="0" w:color="FFFFFF" w:themeColor="background1"/>
              <w:bottom w:val="nil"/>
              <w:right w:val="single" w:sz="4" w:space="0" w:color="FFFFFF" w:themeColor="background1"/>
            </w:tcBorders>
            <w:shd w:val="solid" w:color="auto" w:fill="auto"/>
          </w:tcPr>
          <w:p w:rsidR="00095B77" w:rsidRPr="00485B2C" w:rsidRDefault="00095B77" w:rsidP="00274853">
            <w:pPr>
              <w:spacing w:line="276" w:lineRule="auto"/>
              <w:rPr>
                <w:rFonts w:cs="Arial"/>
                <w:b/>
              </w:rPr>
            </w:pPr>
            <w:r w:rsidRPr="00485B2C">
              <w:rPr>
                <w:b/>
              </w:rPr>
              <w:t>Key Features</w:t>
            </w:r>
          </w:p>
        </w:tc>
        <w:tc>
          <w:tcPr>
            <w:tcW w:w="1242" w:type="dxa"/>
            <w:tcBorders>
              <w:top w:val="single" w:sz="4" w:space="0" w:color="auto"/>
              <w:left w:val="single" w:sz="4" w:space="0" w:color="FFFFFF" w:themeColor="background1"/>
              <w:bottom w:val="nil"/>
              <w:right w:val="nil"/>
            </w:tcBorders>
            <w:shd w:val="solid" w:color="auto" w:fill="auto"/>
          </w:tcPr>
          <w:p w:rsidR="00095B77" w:rsidRPr="00485B2C" w:rsidRDefault="00095B77" w:rsidP="00274853">
            <w:pPr>
              <w:spacing w:line="276" w:lineRule="auto"/>
              <w:rPr>
                <w:b/>
              </w:rPr>
            </w:pPr>
            <w:r w:rsidRPr="00485B2C">
              <w:rPr>
                <w:b/>
              </w:rPr>
              <w:t>Title document</w:t>
            </w:r>
          </w:p>
        </w:tc>
      </w:tr>
      <w:tr w:rsidR="00095B77" w:rsidRPr="00485B2C" w:rsidTr="00FC0D13">
        <w:tc>
          <w:tcPr>
            <w:tcW w:w="1317" w:type="dxa"/>
            <w:tcBorders>
              <w:top w:val="nil"/>
            </w:tcBorders>
            <w:shd w:val="clear" w:color="auto" w:fill="auto"/>
          </w:tcPr>
          <w:p w:rsidR="00095B77" w:rsidRPr="00485B2C" w:rsidRDefault="00C42C2B" w:rsidP="00274853">
            <w:pPr>
              <w:spacing w:line="276" w:lineRule="auto"/>
              <w:rPr>
                <w:b/>
              </w:rPr>
            </w:pPr>
            <w:hyperlink w:anchor="Public_land" w:history="1">
              <w:r w:rsidR="00095B77" w:rsidRPr="001F4AD5">
                <w:rPr>
                  <w:rStyle w:val="Hyperlink"/>
                </w:rPr>
                <w:t>Public land</w:t>
              </w:r>
            </w:hyperlink>
          </w:p>
        </w:tc>
        <w:tc>
          <w:tcPr>
            <w:tcW w:w="1372" w:type="dxa"/>
            <w:tcBorders>
              <w:top w:val="nil"/>
            </w:tcBorders>
            <w:shd w:val="clear" w:color="auto" w:fill="auto"/>
          </w:tcPr>
          <w:p w:rsidR="00095B77" w:rsidRPr="00485B2C" w:rsidRDefault="00095B77" w:rsidP="00274853">
            <w:pPr>
              <w:spacing w:line="276" w:lineRule="auto"/>
              <w:rPr>
                <w:rFonts w:cs="Arial"/>
              </w:rPr>
            </w:pPr>
            <w:r w:rsidRPr="00485B2C">
              <w:rPr>
                <w:rFonts w:cs="Arial"/>
              </w:rPr>
              <w:t>Yes</w:t>
            </w:r>
          </w:p>
        </w:tc>
        <w:tc>
          <w:tcPr>
            <w:tcW w:w="5533" w:type="dxa"/>
            <w:tcBorders>
              <w:top w:val="nil"/>
            </w:tcBorders>
            <w:shd w:val="clear" w:color="auto" w:fill="auto"/>
          </w:tcPr>
          <w:p w:rsidR="00095B77" w:rsidRPr="00485B2C" w:rsidRDefault="00095B77" w:rsidP="00274853">
            <w:pPr>
              <w:spacing w:line="276" w:lineRule="auto"/>
              <w:rPr>
                <w:rFonts w:cs="Arial"/>
              </w:rPr>
            </w:pPr>
            <w:r w:rsidRPr="00485B2C">
              <w:rPr>
                <w:rFonts w:cs="Arial"/>
              </w:rPr>
              <w:t>Land owned by the government.</w:t>
            </w:r>
          </w:p>
        </w:tc>
        <w:tc>
          <w:tcPr>
            <w:tcW w:w="1242" w:type="dxa"/>
            <w:tcBorders>
              <w:top w:val="nil"/>
            </w:tcBorders>
            <w:shd w:val="clear" w:color="auto" w:fill="auto"/>
          </w:tcPr>
          <w:p w:rsidR="00095B77" w:rsidRPr="00485B2C" w:rsidRDefault="00095B77" w:rsidP="00274853">
            <w:pPr>
              <w:spacing w:line="276" w:lineRule="auto"/>
              <w:rPr>
                <w:rFonts w:cs="Arial"/>
              </w:rPr>
            </w:pPr>
            <w:r w:rsidRPr="00485B2C">
              <w:rPr>
                <w:rFonts w:cs="Arial"/>
              </w:rPr>
              <w:t>Registered via Torrens system</w:t>
            </w:r>
          </w:p>
        </w:tc>
      </w:tr>
      <w:tr w:rsidR="00095B77" w:rsidRPr="00485B2C" w:rsidTr="00FC0D13">
        <w:tc>
          <w:tcPr>
            <w:tcW w:w="1317" w:type="dxa"/>
            <w:shd w:val="clear" w:color="auto" w:fill="auto"/>
          </w:tcPr>
          <w:p w:rsidR="00095B77" w:rsidRPr="00485B2C" w:rsidRDefault="00C42C2B" w:rsidP="00274853">
            <w:pPr>
              <w:spacing w:line="276" w:lineRule="auto"/>
              <w:rPr>
                <w:rFonts w:cs="Arial"/>
                <w:b/>
              </w:rPr>
            </w:pPr>
            <w:hyperlink w:anchor="Perpetual_Estate" w:history="1">
              <w:r w:rsidR="00095B77" w:rsidRPr="001F4AD5">
                <w:rPr>
                  <w:rStyle w:val="Hyperlink"/>
                </w:rPr>
                <w:t>Perpetual estate</w:t>
              </w:r>
            </w:hyperlink>
          </w:p>
        </w:tc>
        <w:tc>
          <w:tcPr>
            <w:tcW w:w="1372" w:type="dxa"/>
            <w:shd w:val="clear" w:color="auto" w:fill="auto"/>
          </w:tcPr>
          <w:p w:rsidR="00095B77" w:rsidRPr="00485B2C" w:rsidRDefault="00095B77" w:rsidP="00274853">
            <w:pPr>
              <w:spacing w:line="276" w:lineRule="auto"/>
              <w:rPr>
                <w:rFonts w:cs="Arial"/>
              </w:rPr>
            </w:pPr>
            <w:r w:rsidRPr="00485B2C">
              <w:rPr>
                <w:rFonts w:cs="Arial"/>
              </w:rPr>
              <w:t>Yes</w:t>
            </w:r>
          </w:p>
        </w:tc>
        <w:tc>
          <w:tcPr>
            <w:tcW w:w="5533" w:type="dxa"/>
            <w:shd w:val="clear" w:color="auto" w:fill="auto"/>
          </w:tcPr>
          <w:p w:rsidR="00095B77" w:rsidRPr="00485B2C" w:rsidRDefault="00095B77" w:rsidP="00274853">
            <w:pPr>
              <w:spacing w:line="276" w:lineRule="auto"/>
              <w:rPr>
                <w:rFonts w:cs="Arial"/>
              </w:rPr>
            </w:pPr>
            <w:r w:rsidRPr="00485B2C">
              <w:rPr>
                <w:rFonts w:cs="Arial"/>
              </w:rPr>
              <w:t>Only available to Solomon Islanders</w:t>
            </w:r>
            <w:r>
              <w:rPr>
                <w:rFonts w:cs="Arial"/>
              </w:rPr>
              <w:t xml:space="preserve"> (or prescribed persons)</w:t>
            </w:r>
            <w:r w:rsidRPr="00485B2C">
              <w:rPr>
                <w:rFonts w:cs="Arial"/>
              </w:rPr>
              <w:t>. Can be subject to the payment of rent or the performance of obligations. An interest can only be transferred to a non-Solomon Islander for a period of 75 years or less.</w:t>
            </w:r>
          </w:p>
        </w:tc>
        <w:tc>
          <w:tcPr>
            <w:tcW w:w="1242" w:type="dxa"/>
            <w:shd w:val="clear" w:color="auto" w:fill="auto"/>
          </w:tcPr>
          <w:p w:rsidR="00095B77" w:rsidRPr="00485B2C" w:rsidRDefault="00095B77" w:rsidP="00274853">
            <w:pPr>
              <w:spacing w:line="276" w:lineRule="auto"/>
              <w:rPr>
                <w:rFonts w:cs="Arial"/>
              </w:rPr>
            </w:pPr>
            <w:r w:rsidRPr="00485B2C">
              <w:rPr>
                <w:rFonts w:cs="Arial"/>
              </w:rPr>
              <w:t>Registered via Torrens system</w:t>
            </w:r>
          </w:p>
        </w:tc>
      </w:tr>
      <w:tr w:rsidR="00095B77" w:rsidRPr="00485B2C" w:rsidTr="00FC0D13">
        <w:tc>
          <w:tcPr>
            <w:tcW w:w="1317" w:type="dxa"/>
            <w:shd w:val="clear" w:color="auto" w:fill="auto"/>
          </w:tcPr>
          <w:p w:rsidR="00095B77" w:rsidRPr="00485B2C" w:rsidRDefault="00C42C2B" w:rsidP="00274853">
            <w:pPr>
              <w:spacing w:line="276" w:lineRule="auto"/>
              <w:rPr>
                <w:b/>
              </w:rPr>
            </w:pPr>
            <w:hyperlink w:anchor="Fixed_Term_Estate" w:history="1">
              <w:r w:rsidR="00095B77" w:rsidRPr="001F4AD5">
                <w:rPr>
                  <w:rStyle w:val="Hyperlink"/>
                </w:rPr>
                <w:t>Fixed Term Estate</w:t>
              </w:r>
            </w:hyperlink>
          </w:p>
        </w:tc>
        <w:tc>
          <w:tcPr>
            <w:tcW w:w="1372" w:type="dxa"/>
            <w:shd w:val="clear" w:color="auto" w:fill="auto"/>
          </w:tcPr>
          <w:p w:rsidR="00095B77" w:rsidRPr="00485B2C" w:rsidRDefault="00095B77" w:rsidP="00274853">
            <w:pPr>
              <w:spacing w:line="276" w:lineRule="auto"/>
            </w:pPr>
            <w:r w:rsidRPr="00485B2C">
              <w:rPr>
                <w:rFonts w:cs="Arial"/>
              </w:rPr>
              <w:t>Yes</w:t>
            </w:r>
          </w:p>
        </w:tc>
        <w:tc>
          <w:tcPr>
            <w:tcW w:w="5533" w:type="dxa"/>
            <w:shd w:val="clear" w:color="auto" w:fill="auto"/>
          </w:tcPr>
          <w:p w:rsidR="00095B77" w:rsidRPr="00485B2C" w:rsidRDefault="005759CA" w:rsidP="00274853">
            <w:pPr>
              <w:spacing w:line="276" w:lineRule="auto"/>
            </w:pPr>
            <w:r>
              <w:t>A</w:t>
            </w:r>
            <w:r w:rsidR="00095B77" w:rsidRPr="00485B2C">
              <w:t xml:space="preserve"> right to occupy and use land for a prescribed period. For non-Solomon Islanders, the period cannot exceed 75 years, and in practice is normally 50 years.</w:t>
            </w:r>
          </w:p>
        </w:tc>
        <w:tc>
          <w:tcPr>
            <w:tcW w:w="1242" w:type="dxa"/>
            <w:shd w:val="clear" w:color="auto" w:fill="auto"/>
          </w:tcPr>
          <w:p w:rsidR="00095B77" w:rsidRPr="00485B2C" w:rsidRDefault="00095B77" w:rsidP="00274853">
            <w:pPr>
              <w:spacing w:line="276" w:lineRule="auto"/>
            </w:pPr>
            <w:r w:rsidRPr="00485B2C">
              <w:rPr>
                <w:rFonts w:cs="Arial"/>
              </w:rPr>
              <w:t>Registered via Torrens system</w:t>
            </w:r>
          </w:p>
        </w:tc>
      </w:tr>
      <w:tr w:rsidR="00095B77" w:rsidRPr="00485B2C" w:rsidTr="00FC0D13">
        <w:tc>
          <w:tcPr>
            <w:tcW w:w="1317" w:type="dxa"/>
            <w:shd w:val="clear" w:color="auto" w:fill="auto"/>
          </w:tcPr>
          <w:p w:rsidR="00095B77" w:rsidRPr="00485B2C" w:rsidRDefault="00C42C2B" w:rsidP="00274853">
            <w:pPr>
              <w:spacing w:line="276" w:lineRule="auto"/>
              <w:rPr>
                <w:b/>
              </w:rPr>
            </w:pPr>
            <w:hyperlink w:anchor="Lease" w:history="1">
              <w:r w:rsidR="00095B77" w:rsidRPr="001F4AD5">
                <w:rPr>
                  <w:rStyle w:val="Hyperlink"/>
                </w:rPr>
                <w:t>Lease</w:t>
              </w:r>
            </w:hyperlink>
          </w:p>
        </w:tc>
        <w:tc>
          <w:tcPr>
            <w:tcW w:w="1372" w:type="dxa"/>
            <w:shd w:val="clear" w:color="auto" w:fill="auto"/>
          </w:tcPr>
          <w:p w:rsidR="00095B77" w:rsidRPr="00485B2C" w:rsidRDefault="00095B77" w:rsidP="00274853">
            <w:pPr>
              <w:spacing w:line="276" w:lineRule="auto"/>
            </w:pPr>
            <w:r w:rsidRPr="00485B2C">
              <w:rPr>
                <w:rFonts w:cs="Arial"/>
              </w:rPr>
              <w:t>Yes</w:t>
            </w:r>
          </w:p>
        </w:tc>
        <w:tc>
          <w:tcPr>
            <w:tcW w:w="5533" w:type="dxa"/>
            <w:shd w:val="clear" w:color="auto" w:fill="auto"/>
          </w:tcPr>
          <w:p w:rsidR="00095B77" w:rsidRPr="00485B2C" w:rsidRDefault="00095B77" w:rsidP="00274853">
            <w:pPr>
              <w:spacing w:line="276" w:lineRule="auto"/>
              <w:rPr>
                <w:i/>
              </w:rPr>
            </w:pPr>
            <w:r w:rsidRPr="00485B2C">
              <w:t xml:space="preserve">May be granted by the owner of a perpetual or fixed term estate. Various requirements to maintain land and buildings are implied into leases by the </w:t>
            </w:r>
            <w:r w:rsidRPr="00485B2C">
              <w:rPr>
                <w:i/>
              </w:rPr>
              <w:t>Land and Titles Act.</w:t>
            </w:r>
          </w:p>
          <w:p w:rsidR="00095B77" w:rsidRPr="00485B2C" w:rsidRDefault="00095B77" w:rsidP="00274853">
            <w:pPr>
              <w:spacing w:line="276" w:lineRule="auto"/>
            </w:pPr>
            <w:r w:rsidRPr="00485B2C">
              <w:t>Leases need to be registered if they are in writing and for a period greater than two years. Shorter and less formal leases (called periodic tenancies) cannot be registered, but are deemed to be an "overriding interest" of the owner of the estate</w:t>
            </w:r>
          </w:p>
        </w:tc>
        <w:tc>
          <w:tcPr>
            <w:tcW w:w="1242" w:type="dxa"/>
            <w:shd w:val="clear" w:color="auto" w:fill="auto"/>
          </w:tcPr>
          <w:p w:rsidR="00095B77" w:rsidRPr="00485B2C" w:rsidRDefault="00095B77" w:rsidP="00274853">
            <w:pPr>
              <w:spacing w:line="276" w:lineRule="auto"/>
            </w:pPr>
            <w:r w:rsidRPr="00485B2C">
              <w:rPr>
                <w:rFonts w:cs="Arial"/>
              </w:rPr>
              <w:t>Registered via Torrens system</w:t>
            </w:r>
          </w:p>
        </w:tc>
      </w:tr>
      <w:tr w:rsidR="00095B77" w:rsidRPr="00485B2C" w:rsidTr="00FC0D13">
        <w:tc>
          <w:tcPr>
            <w:tcW w:w="1317" w:type="dxa"/>
            <w:shd w:val="clear" w:color="auto" w:fill="auto"/>
          </w:tcPr>
          <w:p w:rsidR="00095B77" w:rsidRPr="00485B2C" w:rsidRDefault="00C42C2B" w:rsidP="00274853">
            <w:pPr>
              <w:spacing w:line="276" w:lineRule="auto"/>
              <w:rPr>
                <w:b/>
              </w:rPr>
            </w:pPr>
            <w:hyperlink w:anchor="Temporary_Occupation_Licence" w:history="1">
              <w:r w:rsidR="00095B77" w:rsidRPr="001F4AD5">
                <w:rPr>
                  <w:rStyle w:val="Hyperlink"/>
                </w:rPr>
                <w:t>Temporary Occupation Licence</w:t>
              </w:r>
            </w:hyperlink>
          </w:p>
        </w:tc>
        <w:tc>
          <w:tcPr>
            <w:tcW w:w="1372" w:type="dxa"/>
            <w:shd w:val="clear" w:color="auto" w:fill="auto"/>
          </w:tcPr>
          <w:p w:rsidR="00095B77" w:rsidRPr="00485B2C" w:rsidRDefault="00095B77" w:rsidP="00274853">
            <w:pPr>
              <w:spacing w:line="276" w:lineRule="auto"/>
            </w:pPr>
            <w:r w:rsidRPr="00485B2C">
              <w:rPr>
                <w:rFonts w:cs="Arial"/>
              </w:rPr>
              <w:t>Yes</w:t>
            </w:r>
          </w:p>
        </w:tc>
        <w:tc>
          <w:tcPr>
            <w:tcW w:w="5533" w:type="dxa"/>
            <w:shd w:val="clear" w:color="auto" w:fill="auto"/>
          </w:tcPr>
          <w:p w:rsidR="00095B77" w:rsidRPr="00485B2C" w:rsidRDefault="00095B77" w:rsidP="00274853">
            <w:pPr>
              <w:spacing w:line="276" w:lineRule="auto"/>
            </w:pPr>
            <w:r w:rsidRPr="00485B2C">
              <w:t>Issued by the Commissioner, these licences, when used, require the lawful owner of land to give up their occupation rights in favour of the occupier.</w:t>
            </w:r>
          </w:p>
        </w:tc>
        <w:tc>
          <w:tcPr>
            <w:tcW w:w="1242" w:type="dxa"/>
            <w:shd w:val="clear" w:color="auto" w:fill="auto"/>
          </w:tcPr>
          <w:p w:rsidR="00095B77" w:rsidRPr="00485B2C" w:rsidRDefault="00095B77" w:rsidP="00274853">
            <w:pPr>
              <w:spacing w:line="276" w:lineRule="auto"/>
            </w:pPr>
            <w:r w:rsidRPr="00485B2C">
              <w:t>Licence</w:t>
            </w:r>
          </w:p>
        </w:tc>
      </w:tr>
      <w:tr w:rsidR="00095B77" w:rsidRPr="00485B2C" w:rsidTr="00FC0D13">
        <w:tc>
          <w:tcPr>
            <w:tcW w:w="1317" w:type="dxa"/>
            <w:tcBorders>
              <w:bottom w:val="single" w:sz="4" w:space="0" w:color="auto"/>
            </w:tcBorders>
            <w:shd w:val="clear" w:color="auto" w:fill="auto"/>
          </w:tcPr>
          <w:p w:rsidR="00095B77" w:rsidRPr="00485B2C" w:rsidRDefault="00C42C2B" w:rsidP="00274853">
            <w:pPr>
              <w:spacing w:line="276" w:lineRule="auto"/>
              <w:rPr>
                <w:b/>
              </w:rPr>
            </w:pPr>
            <w:hyperlink w:anchor="Customary_Land" w:history="1">
              <w:r w:rsidR="00095B77" w:rsidRPr="001F4AD5">
                <w:rPr>
                  <w:rStyle w:val="Hyperlink"/>
                </w:rPr>
                <w:t>Customary Land Rights</w:t>
              </w:r>
            </w:hyperlink>
          </w:p>
        </w:tc>
        <w:tc>
          <w:tcPr>
            <w:tcW w:w="1372" w:type="dxa"/>
            <w:tcBorders>
              <w:bottom w:val="single" w:sz="4" w:space="0" w:color="auto"/>
            </w:tcBorders>
            <w:shd w:val="clear" w:color="auto" w:fill="auto"/>
          </w:tcPr>
          <w:p w:rsidR="00095B77" w:rsidRPr="00485B2C" w:rsidRDefault="00095B77" w:rsidP="00274853">
            <w:pPr>
              <w:spacing w:line="276" w:lineRule="auto"/>
              <w:rPr>
                <w:rFonts w:cs="Arial"/>
              </w:rPr>
            </w:pPr>
            <w:r w:rsidRPr="00485B2C">
              <w:rPr>
                <w:rFonts w:cs="Arial"/>
              </w:rPr>
              <w:t>No</w:t>
            </w:r>
          </w:p>
        </w:tc>
        <w:tc>
          <w:tcPr>
            <w:tcW w:w="5533" w:type="dxa"/>
            <w:tcBorders>
              <w:bottom w:val="single" w:sz="4" w:space="0" w:color="auto"/>
            </w:tcBorders>
            <w:shd w:val="clear" w:color="auto" w:fill="auto"/>
          </w:tcPr>
          <w:p w:rsidR="00095B77" w:rsidRPr="00485B2C" w:rsidRDefault="00095B77" w:rsidP="00274853">
            <w:pPr>
              <w:spacing w:line="276" w:lineRule="auto"/>
            </w:pPr>
            <w:r w:rsidRPr="00485B2C">
              <w:t xml:space="preserve">Ownership of customary land is typically the purview of tribes or clans rather than individuals. Customary land ownership is expressly recognised in the Constitution, and tenure is secured by the </w:t>
            </w:r>
            <w:r w:rsidRPr="00485B2C">
              <w:rPr>
                <w:i/>
              </w:rPr>
              <w:t>Land and Titles Act</w:t>
            </w:r>
            <w:r w:rsidRPr="00485B2C">
              <w:t>.</w:t>
            </w:r>
          </w:p>
          <w:p w:rsidR="00095B77" w:rsidRPr="00485B2C" w:rsidRDefault="00095B77" w:rsidP="00274853">
            <w:pPr>
              <w:spacing w:line="276" w:lineRule="auto"/>
            </w:pPr>
            <w:r w:rsidRPr="00485B2C">
              <w:t xml:space="preserve">This land is managed in accordance with customary usage rather than a Torrens system, and transactions involving the land are only valid to the extent they comply with customary usage. This customary law is flexible and varied. </w:t>
            </w:r>
          </w:p>
          <w:p w:rsidR="00095B77" w:rsidRPr="00485B2C" w:rsidRDefault="00095B77" w:rsidP="00274853">
            <w:pPr>
              <w:spacing w:line="276" w:lineRule="auto"/>
            </w:pPr>
            <w:r w:rsidRPr="00485B2C">
              <w:t>Customary land tenure is relatively secure because of the constitutional and statutory recognition. Border disputes are common, however, due to lack of registration and recording.</w:t>
            </w:r>
          </w:p>
        </w:tc>
        <w:tc>
          <w:tcPr>
            <w:tcW w:w="1242" w:type="dxa"/>
            <w:tcBorders>
              <w:bottom w:val="single" w:sz="4" w:space="0" w:color="auto"/>
            </w:tcBorders>
            <w:shd w:val="clear" w:color="auto" w:fill="auto"/>
          </w:tcPr>
          <w:p w:rsidR="00095B77" w:rsidRPr="00485B2C" w:rsidRDefault="00095B77" w:rsidP="00274853">
            <w:pPr>
              <w:spacing w:line="276" w:lineRule="auto"/>
            </w:pPr>
            <w:r w:rsidRPr="00485B2C">
              <w:t>No title documents</w:t>
            </w:r>
          </w:p>
        </w:tc>
      </w:tr>
    </w:tbl>
    <w:p w:rsidR="00095B77" w:rsidRPr="005314E6" w:rsidRDefault="005314E6" w:rsidP="005314E6">
      <w:pPr>
        <w:rPr>
          <w:b/>
          <w:sz w:val="22"/>
          <w:szCs w:val="22"/>
        </w:rPr>
      </w:pPr>
      <w:r w:rsidRPr="005314E6">
        <w:rPr>
          <w:b/>
          <w:sz w:val="22"/>
          <w:szCs w:val="22"/>
        </w:rPr>
        <w:t>3</w:t>
      </w:r>
      <w:r w:rsidRPr="005314E6">
        <w:rPr>
          <w:b/>
          <w:sz w:val="22"/>
          <w:szCs w:val="22"/>
        </w:rPr>
        <w:tab/>
      </w:r>
      <w:hyperlink w:anchor="Security_of_Tenure" w:history="1">
        <w:bookmarkStart w:id="28" w:name="_Toc512951179"/>
        <w:bookmarkStart w:id="29" w:name="_Toc512960917"/>
        <w:bookmarkStart w:id="30" w:name="_Toc512960969"/>
        <w:bookmarkStart w:id="31" w:name="_Toc512961578"/>
        <w:bookmarkStart w:id="32" w:name="_Toc512961911"/>
        <w:r w:rsidR="00095B77" w:rsidRPr="005314E6">
          <w:rPr>
            <w:rStyle w:val="Hyperlink"/>
            <w:b/>
            <w:color w:val="auto"/>
            <w:sz w:val="22"/>
            <w:szCs w:val="22"/>
            <w:u w:val="none"/>
          </w:rPr>
          <w:t>Security of tenure of vulnerable groups</w:t>
        </w:r>
        <w:bookmarkEnd w:id="28"/>
        <w:bookmarkEnd w:id="29"/>
        <w:bookmarkEnd w:id="30"/>
        <w:bookmarkEnd w:id="31"/>
        <w:bookmarkEnd w:id="32"/>
      </w:hyperlink>
    </w:p>
    <w:tbl>
      <w:tblPr>
        <w:tblStyle w:val="TableGrid"/>
        <w:tblW w:w="0" w:type="auto"/>
        <w:tblInd w:w="108" w:type="dxa"/>
        <w:tblLook w:val="04A0" w:firstRow="1" w:lastRow="0" w:firstColumn="1" w:lastColumn="0" w:noHBand="0" w:noVBand="1"/>
      </w:tblPr>
      <w:tblGrid>
        <w:gridCol w:w="1560"/>
        <w:gridCol w:w="7904"/>
      </w:tblGrid>
      <w:tr w:rsidR="00095B77" w:rsidRPr="00485B2C" w:rsidTr="00FF0C29">
        <w:tc>
          <w:tcPr>
            <w:tcW w:w="1560" w:type="dxa"/>
            <w:shd w:val="clear" w:color="auto" w:fill="auto"/>
          </w:tcPr>
          <w:p w:rsidR="00095B77" w:rsidRPr="00FF0C29" w:rsidRDefault="00C42C2B" w:rsidP="00274853">
            <w:pPr>
              <w:spacing w:line="276" w:lineRule="auto"/>
              <w:rPr>
                <w:rStyle w:val="Hyperlink"/>
              </w:rPr>
            </w:pPr>
            <w:hyperlink w:anchor="Women" w:history="1">
              <w:r w:rsidR="00095B77" w:rsidRPr="001F4AD5">
                <w:rPr>
                  <w:rStyle w:val="Hyperlink"/>
                </w:rPr>
                <w:t>Women</w:t>
              </w:r>
            </w:hyperlink>
          </w:p>
        </w:tc>
        <w:tc>
          <w:tcPr>
            <w:tcW w:w="7904" w:type="dxa"/>
            <w:shd w:val="clear" w:color="auto" w:fill="auto"/>
          </w:tcPr>
          <w:p w:rsidR="00095B77" w:rsidRPr="00485B2C" w:rsidRDefault="00095B77" w:rsidP="00274853">
            <w:pPr>
              <w:spacing w:line="276" w:lineRule="auto"/>
            </w:pPr>
            <w:r w:rsidRPr="00485B2C">
              <w:t xml:space="preserve">Women have formally equal rights to own property under Solomon Islands law. However, customary law is based on male control and land disputes are generally litigated by men. Customs that require women to defer to men on land matters, combined with inequalities in education and authority, contribute to a practical reality that women's land rights are often disregarded. </w:t>
            </w:r>
          </w:p>
        </w:tc>
      </w:tr>
      <w:tr w:rsidR="00095B77" w:rsidRPr="00485B2C" w:rsidTr="00FF0C29">
        <w:tc>
          <w:tcPr>
            <w:tcW w:w="1560" w:type="dxa"/>
            <w:shd w:val="clear" w:color="auto" w:fill="auto"/>
          </w:tcPr>
          <w:p w:rsidR="00095B77" w:rsidRPr="00FF0C29" w:rsidRDefault="00C42C2B" w:rsidP="00274853">
            <w:pPr>
              <w:spacing w:line="276" w:lineRule="auto"/>
              <w:rPr>
                <w:rStyle w:val="Hyperlink"/>
              </w:rPr>
            </w:pPr>
            <w:hyperlink w:anchor="Minority_groups" w:history="1">
              <w:r w:rsidR="00095B77" w:rsidRPr="001F4AD5">
                <w:rPr>
                  <w:rStyle w:val="Hyperlink"/>
                </w:rPr>
                <w:t>Minority groups</w:t>
              </w:r>
            </w:hyperlink>
          </w:p>
        </w:tc>
        <w:tc>
          <w:tcPr>
            <w:tcW w:w="7904" w:type="dxa"/>
            <w:shd w:val="clear" w:color="auto" w:fill="auto"/>
          </w:tcPr>
          <w:p w:rsidR="00095B77" w:rsidRPr="00485B2C" w:rsidRDefault="00095B77" w:rsidP="00274853">
            <w:pPr>
              <w:spacing w:line="276" w:lineRule="auto"/>
            </w:pPr>
            <w:r w:rsidRPr="00485B2C">
              <w:t>Under the Constitution, only Solomon Islanders can own perpetual estates. No further information has been identified indicating how minority groups use land in practice.</w:t>
            </w:r>
          </w:p>
        </w:tc>
      </w:tr>
      <w:tr w:rsidR="00095B77" w:rsidRPr="00485B2C" w:rsidTr="00FF0C29">
        <w:tc>
          <w:tcPr>
            <w:tcW w:w="1560" w:type="dxa"/>
            <w:shd w:val="clear" w:color="auto" w:fill="auto"/>
          </w:tcPr>
          <w:p w:rsidR="00095B77" w:rsidRPr="00FF0C29" w:rsidRDefault="00C42C2B" w:rsidP="00274853">
            <w:pPr>
              <w:spacing w:line="276" w:lineRule="auto"/>
              <w:rPr>
                <w:rStyle w:val="Hyperlink"/>
              </w:rPr>
            </w:pPr>
            <w:hyperlink w:anchor="Informal_Settlements" w:history="1">
              <w:r w:rsidR="00095B77" w:rsidRPr="001F4AD5">
                <w:rPr>
                  <w:rStyle w:val="Hyperlink"/>
                </w:rPr>
                <w:t>Informal settlements</w:t>
              </w:r>
            </w:hyperlink>
          </w:p>
        </w:tc>
        <w:tc>
          <w:tcPr>
            <w:tcW w:w="7904" w:type="dxa"/>
            <w:shd w:val="clear" w:color="auto" w:fill="auto"/>
          </w:tcPr>
          <w:p w:rsidR="00095B77" w:rsidRPr="00485B2C" w:rsidRDefault="00095B77" w:rsidP="00274853">
            <w:pPr>
              <w:spacing w:line="276" w:lineRule="auto"/>
            </w:pPr>
            <w:r w:rsidRPr="00485B2C">
              <w:t>Informal settlements are a feature of the Solomon Islands landscape. Residents of informal settlements generally have no tenure security and no legal right to live or work on the land they occupy. The Temporary Occupation Licence system is generally thought to be ineffective. Adverse possession is possible in the Solomon Islands, but not for the customary or public land that makes up the bulk of land in the country.</w:t>
            </w:r>
          </w:p>
        </w:tc>
      </w:tr>
      <w:tr w:rsidR="00095B77" w:rsidRPr="00485B2C" w:rsidTr="00FF0C29">
        <w:tc>
          <w:tcPr>
            <w:tcW w:w="1560" w:type="dxa"/>
            <w:shd w:val="clear" w:color="auto" w:fill="auto"/>
          </w:tcPr>
          <w:p w:rsidR="00095B77" w:rsidRPr="00FF0C29" w:rsidRDefault="00C42C2B" w:rsidP="00274853">
            <w:pPr>
              <w:spacing w:line="276" w:lineRule="auto"/>
              <w:rPr>
                <w:rStyle w:val="Hyperlink"/>
              </w:rPr>
            </w:pPr>
            <w:hyperlink w:anchor="Landless_People" w:history="1">
              <w:r w:rsidR="00095B77" w:rsidRPr="001F4AD5">
                <w:rPr>
                  <w:rStyle w:val="Hyperlink"/>
                </w:rPr>
                <w:t>Landless people</w:t>
              </w:r>
            </w:hyperlink>
          </w:p>
        </w:tc>
        <w:tc>
          <w:tcPr>
            <w:tcW w:w="7904" w:type="dxa"/>
            <w:shd w:val="clear" w:color="auto" w:fill="auto"/>
          </w:tcPr>
          <w:p w:rsidR="00095B77" w:rsidRPr="00485B2C" w:rsidRDefault="00095B77" w:rsidP="00274853">
            <w:pPr>
              <w:spacing w:line="276" w:lineRule="auto"/>
            </w:pPr>
            <w:r w:rsidRPr="00485B2C">
              <w:t>Landless people and squatters account for a significant and increasing percentage of the Solomon Islands population. They generally suffer from inadequate drainage and sanitation services. People displaced by natural disasters generally do not have rights to land or housing.</w:t>
            </w:r>
          </w:p>
        </w:tc>
      </w:tr>
    </w:tbl>
    <w:p w:rsidR="00095B77" w:rsidRPr="005314E6" w:rsidRDefault="005314E6" w:rsidP="005314E6">
      <w:pPr>
        <w:rPr>
          <w:b/>
          <w:sz w:val="22"/>
          <w:szCs w:val="22"/>
        </w:rPr>
      </w:pPr>
      <w:r w:rsidRPr="005314E6">
        <w:rPr>
          <w:b/>
          <w:sz w:val="22"/>
          <w:szCs w:val="22"/>
        </w:rPr>
        <w:t>4</w:t>
      </w:r>
      <w:r w:rsidRPr="005314E6">
        <w:rPr>
          <w:b/>
          <w:sz w:val="22"/>
          <w:szCs w:val="22"/>
        </w:rPr>
        <w:tab/>
      </w:r>
      <w:hyperlink w:anchor="Eviction_Expropriation_Relocation" w:history="1">
        <w:bookmarkStart w:id="33" w:name="_Toc512951180"/>
        <w:bookmarkStart w:id="34" w:name="_Toc512960918"/>
        <w:bookmarkStart w:id="35" w:name="_Toc512960970"/>
        <w:bookmarkStart w:id="36" w:name="_Toc512961579"/>
        <w:bookmarkStart w:id="37" w:name="_Toc512961912"/>
        <w:r w:rsidR="00095B77" w:rsidRPr="005314E6">
          <w:rPr>
            <w:rStyle w:val="Hyperlink"/>
            <w:b/>
            <w:color w:val="auto"/>
            <w:sz w:val="22"/>
            <w:szCs w:val="22"/>
            <w:u w:val="none"/>
          </w:rPr>
          <w:t>Eviction, expropriation and relocation</w:t>
        </w:r>
        <w:bookmarkEnd w:id="33"/>
        <w:bookmarkEnd w:id="34"/>
        <w:bookmarkEnd w:id="35"/>
        <w:bookmarkEnd w:id="36"/>
        <w:bookmarkEnd w:id="37"/>
      </w:hyperlink>
    </w:p>
    <w:tbl>
      <w:tblPr>
        <w:tblStyle w:val="TableGrid"/>
        <w:tblW w:w="0" w:type="auto"/>
        <w:tblInd w:w="108" w:type="dxa"/>
        <w:tblLook w:val="04A0" w:firstRow="1" w:lastRow="0" w:firstColumn="1" w:lastColumn="0" w:noHBand="0" w:noVBand="1"/>
      </w:tblPr>
      <w:tblGrid>
        <w:gridCol w:w="1560"/>
        <w:gridCol w:w="7904"/>
      </w:tblGrid>
      <w:tr w:rsidR="005759CA" w:rsidRPr="00485B2C" w:rsidTr="00FF0C29">
        <w:tc>
          <w:tcPr>
            <w:tcW w:w="1560" w:type="dxa"/>
            <w:shd w:val="clear" w:color="auto" w:fill="auto"/>
          </w:tcPr>
          <w:p w:rsidR="005759CA" w:rsidRPr="00FF0C29" w:rsidRDefault="00C42C2B" w:rsidP="00274853">
            <w:pPr>
              <w:spacing w:line="276" w:lineRule="auto"/>
              <w:rPr>
                <w:rStyle w:val="Hyperlink"/>
              </w:rPr>
            </w:pPr>
            <w:hyperlink w:anchor="Eviction" w:history="1">
              <w:r w:rsidR="005759CA" w:rsidRPr="001F4AD5">
                <w:rPr>
                  <w:rStyle w:val="Hyperlink"/>
                </w:rPr>
                <w:t>Eviction</w:t>
              </w:r>
            </w:hyperlink>
          </w:p>
        </w:tc>
        <w:tc>
          <w:tcPr>
            <w:tcW w:w="7904" w:type="dxa"/>
            <w:shd w:val="clear" w:color="auto" w:fill="auto"/>
          </w:tcPr>
          <w:p w:rsidR="005759CA" w:rsidRPr="00485B2C" w:rsidRDefault="005759CA" w:rsidP="00274853">
            <w:pPr>
              <w:spacing w:line="276" w:lineRule="auto"/>
            </w:pPr>
            <w:r w:rsidRPr="00485B2C">
              <w:t>The Constitution forbids compulsorily taking possession of land except with compensation and for a public purpose. Despite these protections, the civil war from 1999 to 2003 saw many thousands of settlers evicted from rural areas.</w:t>
            </w:r>
          </w:p>
        </w:tc>
      </w:tr>
      <w:tr w:rsidR="005759CA" w:rsidRPr="00485B2C" w:rsidTr="00FF0C29">
        <w:tc>
          <w:tcPr>
            <w:tcW w:w="1560" w:type="dxa"/>
            <w:shd w:val="clear" w:color="auto" w:fill="auto"/>
          </w:tcPr>
          <w:p w:rsidR="005759CA" w:rsidRPr="00FF0C29" w:rsidRDefault="00C42C2B" w:rsidP="00274853">
            <w:pPr>
              <w:spacing w:line="276" w:lineRule="auto"/>
              <w:rPr>
                <w:rStyle w:val="Hyperlink"/>
              </w:rPr>
            </w:pPr>
            <w:hyperlink w:anchor="Expropriation" w:history="1">
              <w:r w:rsidR="005759CA" w:rsidRPr="001F4AD5">
                <w:rPr>
                  <w:rStyle w:val="Hyperlink"/>
                </w:rPr>
                <w:t>Expropriation</w:t>
              </w:r>
            </w:hyperlink>
          </w:p>
        </w:tc>
        <w:tc>
          <w:tcPr>
            <w:tcW w:w="7904" w:type="dxa"/>
            <w:shd w:val="clear" w:color="auto" w:fill="auto"/>
          </w:tcPr>
          <w:p w:rsidR="005759CA" w:rsidRPr="00485B2C" w:rsidRDefault="005759CA" w:rsidP="00274853">
            <w:pPr>
              <w:spacing w:line="276" w:lineRule="auto"/>
            </w:pPr>
            <w:r w:rsidRPr="00485B2C">
              <w:t>The Minister for Land can acquire land for public purposes. This power is limited by the Constitution, which prohibits compulsory acquisition except when necessary or expedient in the interests of defence, public safety or public health, among others.</w:t>
            </w:r>
          </w:p>
          <w:p w:rsidR="005759CA" w:rsidRPr="00485B2C" w:rsidRDefault="005759CA" w:rsidP="00274853">
            <w:pPr>
              <w:spacing w:line="276" w:lineRule="auto"/>
            </w:pPr>
            <w:r w:rsidRPr="00485B2C">
              <w:t>The constitution would likely permit the acquisition of land in response to a natural disaster, but the government has shown itself to be generally reluctant to take action that has a potential to lead to civil unrest.</w:t>
            </w:r>
          </w:p>
        </w:tc>
      </w:tr>
      <w:tr w:rsidR="005759CA" w:rsidRPr="00485B2C" w:rsidTr="00FF0C29">
        <w:tc>
          <w:tcPr>
            <w:tcW w:w="1560" w:type="dxa"/>
            <w:shd w:val="clear" w:color="auto" w:fill="auto"/>
          </w:tcPr>
          <w:p w:rsidR="005759CA" w:rsidRPr="00FF0C29" w:rsidRDefault="00C42C2B" w:rsidP="00274853">
            <w:pPr>
              <w:spacing w:line="276" w:lineRule="auto"/>
              <w:rPr>
                <w:rStyle w:val="Hyperlink"/>
              </w:rPr>
            </w:pPr>
            <w:hyperlink w:anchor="Relocation" w:history="1">
              <w:r w:rsidR="005759CA" w:rsidRPr="001F4AD5">
                <w:rPr>
                  <w:rStyle w:val="Hyperlink"/>
                </w:rPr>
                <w:t>Relocation</w:t>
              </w:r>
            </w:hyperlink>
          </w:p>
        </w:tc>
        <w:tc>
          <w:tcPr>
            <w:tcW w:w="7904" w:type="dxa"/>
            <w:shd w:val="clear" w:color="auto" w:fill="auto"/>
          </w:tcPr>
          <w:p w:rsidR="005759CA" w:rsidRPr="00485B2C" w:rsidRDefault="005759CA" w:rsidP="00274853">
            <w:pPr>
              <w:spacing w:line="276" w:lineRule="auto"/>
            </w:pPr>
            <w:r w:rsidRPr="00485B2C">
              <w:t>There are no specific laws governing relocations after a natural disaster. Relocation efforts in the past have been based on local planning schemes or the creation of new subdivisions on public land.</w:t>
            </w:r>
          </w:p>
        </w:tc>
      </w:tr>
    </w:tbl>
    <w:p w:rsidR="00CA7DB1" w:rsidRDefault="00CA7DB1" w:rsidP="00FC0D13">
      <w:pPr>
        <w:rPr>
          <w:b/>
          <w:sz w:val="21"/>
        </w:rPr>
        <w:sectPr w:rsidR="00CA7DB1" w:rsidSect="008401EE">
          <w:headerReference w:type="default" r:id="rId15"/>
          <w:footerReference w:type="default" r:id="rId16"/>
          <w:headerReference w:type="first" r:id="rId17"/>
          <w:footerReference w:type="first" r:id="rId18"/>
          <w:pgSz w:w="11907" w:h="16839"/>
          <w:pgMar w:top="1701" w:right="1134" w:bottom="1134" w:left="1417" w:header="708" w:footer="624" w:gutter="0"/>
          <w:pgNumType w:start="1"/>
          <w:cols w:space="708"/>
          <w:docGrid w:linePitch="360"/>
        </w:sectPr>
      </w:pPr>
    </w:p>
    <w:p w:rsidR="00FC0D13" w:rsidRDefault="00FC0D13" w:rsidP="00FC0D13"/>
    <w:p w:rsidR="00FC0D13" w:rsidRDefault="00FC0D13" w:rsidP="00FC0D13"/>
    <w:p w:rsidR="00FC0D13" w:rsidRDefault="00FC0D13" w:rsidP="00FC0D13"/>
    <w:p w:rsidR="00FC0D13" w:rsidRDefault="00FC0D13" w:rsidP="00FC0D13"/>
    <w:p w:rsidR="00FC0D13" w:rsidRDefault="00FC0D13" w:rsidP="00FC0D13"/>
    <w:p w:rsidR="00FC0D13" w:rsidRDefault="00FC0D13" w:rsidP="00FC0D13"/>
    <w:p w:rsidR="00FC0D13" w:rsidRDefault="00FC0D13" w:rsidP="00FC0D13"/>
    <w:p w:rsidR="00FC0D13" w:rsidRDefault="00FC0D13" w:rsidP="00FC0D13"/>
    <w:p w:rsidR="00FC0D13" w:rsidRDefault="00FC0D13" w:rsidP="00FC0D13"/>
    <w:p w:rsidR="00FC0D13" w:rsidRDefault="00FC0D13" w:rsidP="00FC0D13">
      <w:pPr>
        <w:pStyle w:val="Title"/>
        <w:jc w:val="center"/>
        <w:rPr>
          <w:b/>
          <w:bCs/>
        </w:rPr>
      </w:pPr>
      <w:bookmarkStart w:id="39" w:name="AgreementTitle"/>
    </w:p>
    <w:p w:rsidR="00FC0D13" w:rsidRDefault="00FC0D13" w:rsidP="00FC0D13">
      <w:pPr>
        <w:pStyle w:val="Title"/>
        <w:jc w:val="center"/>
        <w:rPr>
          <w:b/>
          <w:bCs/>
        </w:rPr>
      </w:pPr>
      <w:r>
        <w:rPr>
          <w:b/>
          <w:bCs/>
        </w:rPr>
        <w:t>Disaster Law Housing, Land and</w:t>
      </w:r>
    </w:p>
    <w:p w:rsidR="00FC0D13" w:rsidRDefault="00FC0D13" w:rsidP="00FC0D13">
      <w:pPr>
        <w:pStyle w:val="Title"/>
        <w:jc w:val="center"/>
        <w:rPr>
          <w:b/>
          <w:bCs/>
        </w:rPr>
      </w:pPr>
      <w:r w:rsidRPr="00F92C8D">
        <w:rPr>
          <w:b/>
          <w:bCs/>
        </w:rPr>
        <w:t>Property Mapping Project</w:t>
      </w:r>
    </w:p>
    <w:p w:rsidR="00FC0D13" w:rsidRPr="005D6E30" w:rsidRDefault="00FC0D13" w:rsidP="00FC0D13">
      <w:pPr>
        <w:pStyle w:val="Title"/>
        <w:jc w:val="center"/>
        <w:rPr>
          <w:b/>
          <w:bCs/>
        </w:rPr>
      </w:pPr>
    </w:p>
    <w:p w:rsidR="000A4FB7" w:rsidRDefault="00FC0D13" w:rsidP="000A4FB7">
      <w:pPr>
        <w:pStyle w:val="Title"/>
        <w:jc w:val="center"/>
      </w:pPr>
      <w:r>
        <w:t>Solomon Islands</w:t>
      </w:r>
      <w:bookmarkEnd w:id="39"/>
    </w:p>
    <w:p w:rsidR="000A4FB7" w:rsidRDefault="000A4FB7">
      <w:pPr>
        <w:spacing w:before="0" w:after="200" w:line="276" w:lineRule="auto"/>
        <w:rPr>
          <w:sz w:val="32"/>
        </w:rPr>
      </w:pPr>
      <w:r>
        <w:br w:type="page"/>
      </w:r>
    </w:p>
    <w:p w:rsidR="00FC0D13" w:rsidRPr="00C53540" w:rsidRDefault="00FC0D13" w:rsidP="00EE55CE">
      <w:pPr>
        <w:pStyle w:val="ContentsHeading"/>
      </w:pPr>
      <w:r w:rsidRPr="00C53540">
        <w:lastRenderedPageBreak/>
        <w:t>Contents</w:t>
      </w:r>
    </w:p>
    <w:p w:rsidR="006F1291" w:rsidRDefault="00FC0D13">
      <w:pPr>
        <w:pStyle w:val="TOC1"/>
        <w:rPr>
          <w:rFonts w:asciiTheme="minorHAnsi" w:eastAsiaTheme="minorEastAsia" w:hAnsiTheme="minorHAnsi" w:cstheme="minorBidi"/>
          <w:b w:val="0"/>
          <w:sz w:val="22"/>
          <w:szCs w:val="22"/>
          <w:lang w:eastAsia="en-AU"/>
        </w:rPr>
      </w:pPr>
      <w:r>
        <w:rPr>
          <w:rFonts w:ascii="Arial" w:hAnsi="Arial"/>
        </w:rPr>
        <w:fldChar w:fldCharType="begin"/>
      </w:r>
      <w:r>
        <w:instrText xml:space="preserve"> TOC \o "1-3" \h \z \t "Schedule,1" </w:instrText>
      </w:r>
      <w:r>
        <w:rPr>
          <w:rFonts w:ascii="Arial" w:hAnsi="Arial"/>
        </w:rPr>
        <w:fldChar w:fldCharType="separate"/>
      </w:r>
      <w:hyperlink w:anchor="_Toc513116817" w:history="1">
        <w:r w:rsidR="006F1291" w:rsidRPr="00E65A48">
          <w:rPr>
            <w:rStyle w:val="Hyperlink"/>
          </w:rPr>
          <w:t>1</w:t>
        </w:r>
        <w:r w:rsidR="006F1291">
          <w:rPr>
            <w:rFonts w:asciiTheme="minorHAnsi" w:eastAsiaTheme="minorEastAsia" w:hAnsiTheme="minorHAnsi" w:cstheme="minorBidi"/>
            <w:b w:val="0"/>
            <w:sz w:val="22"/>
            <w:szCs w:val="22"/>
            <w:lang w:eastAsia="en-AU"/>
          </w:rPr>
          <w:tab/>
        </w:r>
        <w:r w:rsidR="006F1291" w:rsidRPr="00E65A48">
          <w:rPr>
            <w:rStyle w:val="Hyperlink"/>
          </w:rPr>
          <w:t>Introduction</w:t>
        </w:r>
        <w:r w:rsidR="006F1291">
          <w:rPr>
            <w:webHidden/>
          </w:rPr>
          <w:tab/>
        </w:r>
        <w:r w:rsidR="006F1291">
          <w:rPr>
            <w:webHidden/>
          </w:rPr>
          <w:fldChar w:fldCharType="begin"/>
        </w:r>
        <w:r w:rsidR="006F1291">
          <w:rPr>
            <w:webHidden/>
          </w:rPr>
          <w:instrText xml:space="preserve"> PAGEREF _Toc513116817 \h </w:instrText>
        </w:r>
        <w:r w:rsidR="006F1291">
          <w:rPr>
            <w:webHidden/>
          </w:rPr>
        </w:r>
        <w:r w:rsidR="006F1291">
          <w:rPr>
            <w:webHidden/>
          </w:rPr>
          <w:fldChar w:fldCharType="separate"/>
        </w:r>
        <w:r w:rsidR="006F1291">
          <w:rPr>
            <w:webHidden/>
          </w:rPr>
          <w:t>3</w:t>
        </w:r>
        <w:r w:rsidR="006F1291">
          <w:rPr>
            <w:webHidden/>
          </w:rPr>
          <w:fldChar w:fldCharType="end"/>
        </w:r>
      </w:hyperlink>
    </w:p>
    <w:p w:rsidR="006F1291" w:rsidRDefault="00C42C2B">
      <w:pPr>
        <w:pStyle w:val="TOC2"/>
        <w:tabs>
          <w:tab w:val="left" w:pos="1418"/>
        </w:tabs>
        <w:rPr>
          <w:rFonts w:asciiTheme="minorHAnsi" w:eastAsiaTheme="minorEastAsia" w:hAnsiTheme="minorHAnsi" w:cstheme="minorBidi"/>
          <w:sz w:val="22"/>
          <w:szCs w:val="22"/>
          <w:lang w:eastAsia="en-AU"/>
        </w:rPr>
      </w:pPr>
      <w:hyperlink w:anchor="_Toc513116818" w:history="1">
        <w:r w:rsidR="006F1291" w:rsidRPr="00E65A48">
          <w:rPr>
            <w:rStyle w:val="Hyperlink"/>
          </w:rPr>
          <w:t>1.1</w:t>
        </w:r>
        <w:r w:rsidR="006F1291">
          <w:rPr>
            <w:rFonts w:asciiTheme="minorHAnsi" w:eastAsiaTheme="minorEastAsia" w:hAnsiTheme="minorHAnsi" w:cstheme="minorBidi"/>
            <w:sz w:val="22"/>
            <w:szCs w:val="22"/>
            <w:lang w:eastAsia="en-AU"/>
          </w:rPr>
          <w:tab/>
        </w:r>
        <w:r w:rsidR="006F1291" w:rsidRPr="00E65A48">
          <w:rPr>
            <w:rStyle w:val="Hyperlink"/>
          </w:rPr>
          <w:t>Overview</w:t>
        </w:r>
        <w:r w:rsidR="006F1291">
          <w:rPr>
            <w:webHidden/>
          </w:rPr>
          <w:tab/>
        </w:r>
        <w:r w:rsidR="006F1291">
          <w:rPr>
            <w:webHidden/>
          </w:rPr>
          <w:fldChar w:fldCharType="begin"/>
        </w:r>
        <w:r w:rsidR="006F1291">
          <w:rPr>
            <w:webHidden/>
          </w:rPr>
          <w:instrText xml:space="preserve"> PAGEREF _Toc513116818 \h </w:instrText>
        </w:r>
        <w:r w:rsidR="006F1291">
          <w:rPr>
            <w:webHidden/>
          </w:rPr>
        </w:r>
        <w:r w:rsidR="006F1291">
          <w:rPr>
            <w:webHidden/>
          </w:rPr>
          <w:fldChar w:fldCharType="separate"/>
        </w:r>
        <w:r w:rsidR="006F1291">
          <w:rPr>
            <w:webHidden/>
          </w:rPr>
          <w:t>3</w:t>
        </w:r>
        <w:r w:rsidR="006F1291">
          <w:rPr>
            <w:webHidden/>
          </w:rPr>
          <w:fldChar w:fldCharType="end"/>
        </w:r>
      </w:hyperlink>
    </w:p>
    <w:p w:rsidR="006F1291" w:rsidRDefault="00C42C2B">
      <w:pPr>
        <w:pStyle w:val="TOC2"/>
        <w:tabs>
          <w:tab w:val="left" w:pos="1418"/>
        </w:tabs>
        <w:rPr>
          <w:rFonts w:asciiTheme="minorHAnsi" w:eastAsiaTheme="minorEastAsia" w:hAnsiTheme="minorHAnsi" w:cstheme="minorBidi"/>
          <w:sz w:val="22"/>
          <w:szCs w:val="22"/>
          <w:lang w:eastAsia="en-AU"/>
        </w:rPr>
      </w:pPr>
      <w:hyperlink w:anchor="_Toc513116819" w:history="1">
        <w:r w:rsidR="006F1291" w:rsidRPr="00E65A48">
          <w:rPr>
            <w:rStyle w:val="Hyperlink"/>
          </w:rPr>
          <w:t>1.2</w:t>
        </w:r>
        <w:r w:rsidR="006F1291">
          <w:rPr>
            <w:rFonts w:asciiTheme="minorHAnsi" w:eastAsiaTheme="minorEastAsia" w:hAnsiTheme="minorHAnsi" w:cstheme="minorBidi"/>
            <w:sz w:val="22"/>
            <w:szCs w:val="22"/>
            <w:lang w:eastAsia="en-AU"/>
          </w:rPr>
          <w:tab/>
        </w:r>
        <w:r w:rsidR="006F1291" w:rsidRPr="00E65A48">
          <w:rPr>
            <w:rStyle w:val="Hyperlink"/>
          </w:rPr>
          <w:t>Background information on Solomon Islands</w:t>
        </w:r>
        <w:r w:rsidR="006F1291">
          <w:rPr>
            <w:webHidden/>
          </w:rPr>
          <w:tab/>
        </w:r>
        <w:r w:rsidR="006F1291">
          <w:rPr>
            <w:webHidden/>
          </w:rPr>
          <w:fldChar w:fldCharType="begin"/>
        </w:r>
        <w:r w:rsidR="006F1291">
          <w:rPr>
            <w:webHidden/>
          </w:rPr>
          <w:instrText xml:space="preserve"> PAGEREF _Toc513116819 \h </w:instrText>
        </w:r>
        <w:r w:rsidR="006F1291">
          <w:rPr>
            <w:webHidden/>
          </w:rPr>
        </w:r>
        <w:r w:rsidR="006F1291">
          <w:rPr>
            <w:webHidden/>
          </w:rPr>
          <w:fldChar w:fldCharType="separate"/>
        </w:r>
        <w:r w:rsidR="006F1291">
          <w:rPr>
            <w:webHidden/>
          </w:rPr>
          <w:t>3</w:t>
        </w:r>
        <w:r w:rsidR="006F1291">
          <w:rPr>
            <w:webHidden/>
          </w:rPr>
          <w:fldChar w:fldCharType="end"/>
        </w:r>
      </w:hyperlink>
    </w:p>
    <w:p w:rsidR="006F1291" w:rsidRDefault="00C42C2B">
      <w:pPr>
        <w:pStyle w:val="TOC1"/>
        <w:rPr>
          <w:rFonts w:asciiTheme="minorHAnsi" w:eastAsiaTheme="minorEastAsia" w:hAnsiTheme="minorHAnsi" w:cstheme="minorBidi"/>
          <w:b w:val="0"/>
          <w:sz w:val="22"/>
          <w:szCs w:val="22"/>
          <w:lang w:eastAsia="en-AU"/>
        </w:rPr>
      </w:pPr>
      <w:hyperlink w:anchor="_Toc513116820" w:history="1">
        <w:r w:rsidR="006F1291" w:rsidRPr="00E65A48">
          <w:rPr>
            <w:rStyle w:val="Hyperlink"/>
          </w:rPr>
          <w:t>2</w:t>
        </w:r>
        <w:r w:rsidR="006F1291">
          <w:rPr>
            <w:rFonts w:asciiTheme="minorHAnsi" w:eastAsiaTheme="minorEastAsia" w:hAnsiTheme="minorHAnsi" w:cstheme="minorBidi"/>
            <w:b w:val="0"/>
            <w:sz w:val="22"/>
            <w:szCs w:val="22"/>
            <w:lang w:eastAsia="en-AU"/>
          </w:rPr>
          <w:tab/>
        </w:r>
        <w:r w:rsidR="006F1291" w:rsidRPr="00E65A48">
          <w:rPr>
            <w:rStyle w:val="Hyperlink"/>
          </w:rPr>
          <w:t>Common Types of Land Tenure</w:t>
        </w:r>
        <w:r w:rsidR="006F1291">
          <w:rPr>
            <w:webHidden/>
          </w:rPr>
          <w:tab/>
        </w:r>
        <w:r w:rsidR="006F1291">
          <w:rPr>
            <w:webHidden/>
          </w:rPr>
          <w:fldChar w:fldCharType="begin"/>
        </w:r>
        <w:r w:rsidR="006F1291">
          <w:rPr>
            <w:webHidden/>
          </w:rPr>
          <w:instrText xml:space="preserve"> PAGEREF _Toc513116820 \h </w:instrText>
        </w:r>
        <w:r w:rsidR="006F1291">
          <w:rPr>
            <w:webHidden/>
          </w:rPr>
        </w:r>
        <w:r w:rsidR="006F1291">
          <w:rPr>
            <w:webHidden/>
          </w:rPr>
          <w:fldChar w:fldCharType="separate"/>
        </w:r>
        <w:r w:rsidR="006F1291">
          <w:rPr>
            <w:webHidden/>
          </w:rPr>
          <w:t>5</w:t>
        </w:r>
        <w:r w:rsidR="006F1291">
          <w:rPr>
            <w:webHidden/>
          </w:rPr>
          <w:fldChar w:fldCharType="end"/>
        </w:r>
      </w:hyperlink>
    </w:p>
    <w:p w:rsidR="006F1291" w:rsidRDefault="00C42C2B">
      <w:pPr>
        <w:pStyle w:val="TOC2"/>
        <w:tabs>
          <w:tab w:val="left" w:pos="1418"/>
        </w:tabs>
        <w:rPr>
          <w:rFonts w:asciiTheme="minorHAnsi" w:eastAsiaTheme="minorEastAsia" w:hAnsiTheme="minorHAnsi" w:cstheme="minorBidi"/>
          <w:sz w:val="22"/>
          <w:szCs w:val="22"/>
          <w:lang w:eastAsia="en-AU"/>
        </w:rPr>
      </w:pPr>
      <w:hyperlink w:anchor="_Toc513116821" w:history="1">
        <w:r w:rsidR="006F1291" w:rsidRPr="00E65A48">
          <w:rPr>
            <w:rStyle w:val="Hyperlink"/>
          </w:rPr>
          <w:t>2.1</w:t>
        </w:r>
        <w:r w:rsidR="006F1291">
          <w:rPr>
            <w:rFonts w:asciiTheme="minorHAnsi" w:eastAsiaTheme="minorEastAsia" w:hAnsiTheme="minorHAnsi" w:cstheme="minorBidi"/>
            <w:sz w:val="22"/>
            <w:szCs w:val="22"/>
            <w:lang w:eastAsia="en-AU"/>
          </w:rPr>
          <w:tab/>
        </w:r>
        <w:r w:rsidR="006F1291" w:rsidRPr="00E65A48">
          <w:rPr>
            <w:rStyle w:val="Hyperlink"/>
          </w:rPr>
          <w:t>Tenure types</w:t>
        </w:r>
        <w:r w:rsidR="006F1291">
          <w:rPr>
            <w:webHidden/>
          </w:rPr>
          <w:tab/>
        </w:r>
        <w:r w:rsidR="006F1291">
          <w:rPr>
            <w:webHidden/>
          </w:rPr>
          <w:fldChar w:fldCharType="begin"/>
        </w:r>
        <w:r w:rsidR="006F1291">
          <w:rPr>
            <w:webHidden/>
          </w:rPr>
          <w:instrText xml:space="preserve"> PAGEREF _Toc513116821 \h </w:instrText>
        </w:r>
        <w:r w:rsidR="006F1291">
          <w:rPr>
            <w:webHidden/>
          </w:rPr>
        </w:r>
        <w:r w:rsidR="006F1291">
          <w:rPr>
            <w:webHidden/>
          </w:rPr>
          <w:fldChar w:fldCharType="separate"/>
        </w:r>
        <w:r w:rsidR="006F1291">
          <w:rPr>
            <w:webHidden/>
          </w:rPr>
          <w:t>5</w:t>
        </w:r>
        <w:r w:rsidR="006F1291">
          <w:rPr>
            <w:webHidden/>
          </w:rPr>
          <w:fldChar w:fldCharType="end"/>
        </w:r>
      </w:hyperlink>
    </w:p>
    <w:p w:rsidR="006F1291" w:rsidRDefault="00C42C2B">
      <w:pPr>
        <w:pStyle w:val="TOC2"/>
        <w:tabs>
          <w:tab w:val="left" w:pos="1418"/>
        </w:tabs>
        <w:rPr>
          <w:rFonts w:asciiTheme="minorHAnsi" w:eastAsiaTheme="minorEastAsia" w:hAnsiTheme="minorHAnsi" w:cstheme="minorBidi"/>
          <w:sz w:val="22"/>
          <w:szCs w:val="22"/>
          <w:lang w:eastAsia="en-AU"/>
        </w:rPr>
      </w:pPr>
      <w:hyperlink w:anchor="_Toc513116822" w:history="1">
        <w:r w:rsidR="006F1291" w:rsidRPr="00E65A48">
          <w:rPr>
            <w:rStyle w:val="Hyperlink"/>
          </w:rPr>
          <w:t>2.2</w:t>
        </w:r>
        <w:r w:rsidR="006F1291">
          <w:rPr>
            <w:rFonts w:asciiTheme="minorHAnsi" w:eastAsiaTheme="minorEastAsia" w:hAnsiTheme="minorHAnsi" w:cstheme="minorBidi"/>
            <w:sz w:val="22"/>
            <w:szCs w:val="22"/>
            <w:lang w:eastAsia="en-AU"/>
          </w:rPr>
          <w:tab/>
        </w:r>
        <w:r w:rsidR="006F1291" w:rsidRPr="00E65A48">
          <w:rPr>
            <w:rStyle w:val="Hyperlink"/>
          </w:rPr>
          <w:t>Documenting Tenure</w:t>
        </w:r>
        <w:r w:rsidR="006F1291">
          <w:rPr>
            <w:webHidden/>
          </w:rPr>
          <w:tab/>
        </w:r>
        <w:r w:rsidR="006F1291">
          <w:rPr>
            <w:webHidden/>
          </w:rPr>
          <w:fldChar w:fldCharType="begin"/>
        </w:r>
        <w:r w:rsidR="006F1291">
          <w:rPr>
            <w:webHidden/>
          </w:rPr>
          <w:instrText xml:space="preserve"> PAGEREF _Toc513116822 \h </w:instrText>
        </w:r>
        <w:r w:rsidR="006F1291">
          <w:rPr>
            <w:webHidden/>
          </w:rPr>
        </w:r>
        <w:r w:rsidR="006F1291">
          <w:rPr>
            <w:webHidden/>
          </w:rPr>
          <w:fldChar w:fldCharType="separate"/>
        </w:r>
        <w:r w:rsidR="006F1291">
          <w:rPr>
            <w:webHidden/>
          </w:rPr>
          <w:t>10</w:t>
        </w:r>
        <w:r w:rsidR="006F1291">
          <w:rPr>
            <w:webHidden/>
          </w:rPr>
          <w:fldChar w:fldCharType="end"/>
        </w:r>
      </w:hyperlink>
    </w:p>
    <w:p w:rsidR="006F1291" w:rsidRDefault="00C42C2B">
      <w:pPr>
        <w:pStyle w:val="TOC2"/>
        <w:tabs>
          <w:tab w:val="left" w:pos="1418"/>
        </w:tabs>
        <w:rPr>
          <w:rFonts w:asciiTheme="minorHAnsi" w:eastAsiaTheme="minorEastAsia" w:hAnsiTheme="minorHAnsi" w:cstheme="minorBidi"/>
          <w:sz w:val="22"/>
          <w:szCs w:val="22"/>
          <w:lang w:eastAsia="en-AU"/>
        </w:rPr>
      </w:pPr>
      <w:hyperlink w:anchor="_Toc513116823" w:history="1">
        <w:r w:rsidR="006F1291" w:rsidRPr="00E65A48">
          <w:rPr>
            <w:rStyle w:val="Hyperlink"/>
          </w:rPr>
          <w:t>2.3</w:t>
        </w:r>
        <w:r w:rsidR="006F1291">
          <w:rPr>
            <w:rFonts w:asciiTheme="minorHAnsi" w:eastAsiaTheme="minorEastAsia" w:hAnsiTheme="minorHAnsi" w:cstheme="minorBidi"/>
            <w:sz w:val="22"/>
            <w:szCs w:val="22"/>
            <w:lang w:eastAsia="en-AU"/>
          </w:rPr>
          <w:tab/>
        </w:r>
        <w:r w:rsidR="006F1291" w:rsidRPr="00E65A48">
          <w:rPr>
            <w:rStyle w:val="Hyperlink"/>
          </w:rPr>
          <w:t>Customary ownership</w:t>
        </w:r>
        <w:r w:rsidR="006F1291">
          <w:rPr>
            <w:webHidden/>
          </w:rPr>
          <w:tab/>
        </w:r>
        <w:r w:rsidR="006F1291">
          <w:rPr>
            <w:webHidden/>
          </w:rPr>
          <w:fldChar w:fldCharType="begin"/>
        </w:r>
        <w:r w:rsidR="006F1291">
          <w:rPr>
            <w:webHidden/>
          </w:rPr>
          <w:instrText xml:space="preserve"> PAGEREF _Toc513116823 \h </w:instrText>
        </w:r>
        <w:r w:rsidR="006F1291">
          <w:rPr>
            <w:webHidden/>
          </w:rPr>
        </w:r>
        <w:r w:rsidR="006F1291">
          <w:rPr>
            <w:webHidden/>
          </w:rPr>
          <w:fldChar w:fldCharType="separate"/>
        </w:r>
        <w:r w:rsidR="006F1291">
          <w:rPr>
            <w:webHidden/>
          </w:rPr>
          <w:t>11</w:t>
        </w:r>
        <w:r w:rsidR="006F1291">
          <w:rPr>
            <w:webHidden/>
          </w:rPr>
          <w:fldChar w:fldCharType="end"/>
        </w:r>
      </w:hyperlink>
    </w:p>
    <w:p w:rsidR="006F1291" w:rsidRDefault="00C42C2B">
      <w:pPr>
        <w:pStyle w:val="TOC2"/>
        <w:tabs>
          <w:tab w:val="left" w:pos="1418"/>
        </w:tabs>
        <w:rPr>
          <w:rFonts w:asciiTheme="minorHAnsi" w:eastAsiaTheme="minorEastAsia" w:hAnsiTheme="minorHAnsi" w:cstheme="minorBidi"/>
          <w:sz w:val="22"/>
          <w:szCs w:val="22"/>
          <w:lang w:eastAsia="en-AU"/>
        </w:rPr>
      </w:pPr>
      <w:hyperlink w:anchor="_Toc513116824" w:history="1">
        <w:r w:rsidR="006F1291" w:rsidRPr="00E65A48">
          <w:rPr>
            <w:rStyle w:val="Hyperlink"/>
          </w:rPr>
          <w:t>2.4</w:t>
        </w:r>
        <w:r w:rsidR="006F1291">
          <w:rPr>
            <w:rFonts w:asciiTheme="minorHAnsi" w:eastAsiaTheme="minorEastAsia" w:hAnsiTheme="minorHAnsi" w:cstheme="minorBidi"/>
            <w:sz w:val="22"/>
            <w:szCs w:val="22"/>
            <w:lang w:eastAsia="en-AU"/>
          </w:rPr>
          <w:tab/>
        </w:r>
        <w:r w:rsidR="006F1291" w:rsidRPr="00E65A48">
          <w:rPr>
            <w:rStyle w:val="Hyperlink"/>
          </w:rPr>
          <w:t>Informal settlements</w:t>
        </w:r>
        <w:r w:rsidR="006F1291">
          <w:rPr>
            <w:webHidden/>
          </w:rPr>
          <w:tab/>
        </w:r>
        <w:r w:rsidR="006F1291">
          <w:rPr>
            <w:webHidden/>
          </w:rPr>
          <w:fldChar w:fldCharType="begin"/>
        </w:r>
        <w:r w:rsidR="006F1291">
          <w:rPr>
            <w:webHidden/>
          </w:rPr>
          <w:instrText xml:space="preserve"> PAGEREF _Toc513116824 \h </w:instrText>
        </w:r>
        <w:r w:rsidR="006F1291">
          <w:rPr>
            <w:webHidden/>
          </w:rPr>
        </w:r>
        <w:r w:rsidR="006F1291">
          <w:rPr>
            <w:webHidden/>
          </w:rPr>
          <w:fldChar w:fldCharType="separate"/>
        </w:r>
        <w:r w:rsidR="006F1291">
          <w:rPr>
            <w:webHidden/>
          </w:rPr>
          <w:t>17</w:t>
        </w:r>
        <w:r w:rsidR="006F1291">
          <w:rPr>
            <w:webHidden/>
          </w:rPr>
          <w:fldChar w:fldCharType="end"/>
        </w:r>
      </w:hyperlink>
    </w:p>
    <w:p w:rsidR="006F1291" w:rsidRDefault="00C42C2B">
      <w:pPr>
        <w:pStyle w:val="TOC1"/>
        <w:rPr>
          <w:rFonts w:asciiTheme="minorHAnsi" w:eastAsiaTheme="minorEastAsia" w:hAnsiTheme="minorHAnsi" w:cstheme="minorBidi"/>
          <w:b w:val="0"/>
          <w:sz w:val="22"/>
          <w:szCs w:val="22"/>
          <w:lang w:eastAsia="en-AU"/>
        </w:rPr>
      </w:pPr>
      <w:hyperlink w:anchor="_Toc513116825" w:history="1">
        <w:r w:rsidR="006F1291" w:rsidRPr="00E65A48">
          <w:rPr>
            <w:rStyle w:val="Hyperlink"/>
          </w:rPr>
          <w:t>3</w:t>
        </w:r>
        <w:r w:rsidR="006F1291">
          <w:rPr>
            <w:rFonts w:asciiTheme="minorHAnsi" w:eastAsiaTheme="minorEastAsia" w:hAnsiTheme="minorHAnsi" w:cstheme="minorBidi"/>
            <w:b w:val="0"/>
            <w:sz w:val="22"/>
            <w:szCs w:val="22"/>
            <w:lang w:eastAsia="en-AU"/>
          </w:rPr>
          <w:tab/>
        </w:r>
        <w:r w:rsidR="006F1291" w:rsidRPr="00E65A48">
          <w:rPr>
            <w:rStyle w:val="Hyperlink"/>
          </w:rPr>
          <w:t>Security of Tenure of Vulnerable Groups</w:t>
        </w:r>
        <w:r w:rsidR="006F1291">
          <w:rPr>
            <w:webHidden/>
          </w:rPr>
          <w:tab/>
        </w:r>
        <w:r w:rsidR="006F1291">
          <w:rPr>
            <w:webHidden/>
          </w:rPr>
          <w:fldChar w:fldCharType="begin"/>
        </w:r>
        <w:r w:rsidR="006F1291">
          <w:rPr>
            <w:webHidden/>
          </w:rPr>
          <w:instrText xml:space="preserve"> PAGEREF _Toc513116825 \h </w:instrText>
        </w:r>
        <w:r w:rsidR="006F1291">
          <w:rPr>
            <w:webHidden/>
          </w:rPr>
        </w:r>
        <w:r w:rsidR="006F1291">
          <w:rPr>
            <w:webHidden/>
          </w:rPr>
          <w:fldChar w:fldCharType="separate"/>
        </w:r>
        <w:r w:rsidR="006F1291">
          <w:rPr>
            <w:webHidden/>
          </w:rPr>
          <w:t>19</w:t>
        </w:r>
        <w:r w:rsidR="006F1291">
          <w:rPr>
            <w:webHidden/>
          </w:rPr>
          <w:fldChar w:fldCharType="end"/>
        </w:r>
      </w:hyperlink>
    </w:p>
    <w:p w:rsidR="006F1291" w:rsidRDefault="00C42C2B">
      <w:pPr>
        <w:pStyle w:val="TOC2"/>
        <w:tabs>
          <w:tab w:val="left" w:pos="1418"/>
        </w:tabs>
        <w:rPr>
          <w:rFonts w:asciiTheme="minorHAnsi" w:eastAsiaTheme="minorEastAsia" w:hAnsiTheme="minorHAnsi" w:cstheme="minorBidi"/>
          <w:sz w:val="22"/>
          <w:szCs w:val="22"/>
          <w:lang w:eastAsia="en-AU"/>
        </w:rPr>
      </w:pPr>
      <w:hyperlink w:anchor="_Toc513116826" w:history="1">
        <w:r w:rsidR="006F1291" w:rsidRPr="00E65A48">
          <w:rPr>
            <w:rStyle w:val="Hyperlink"/>
          </w:rPr>
          <w:t>3.1</w:t>
        </w:r>
        <w:r w:rsidR="006F1291">
          <w:rPr>
            <w:rFonts w:asciiTheme="minorHAnsi" w:eastAsiaTheme="minorEastAsia" w:hAnsiTheme="minorHAnsi" w:cstheme="minorBidi"/>
            <w:sz w:val="22"/>
            <w:szCs w:val="22"/>
            <w:lang w:eastAsia="en-AU"/>
          </w:rPr>
          <w:tab/>
        </w:r>
        <w:r w:rsidR="006F1291" w:rsidRPr="00E65A48">
          <w:rPr>
            <w:rStyle w:val="Hyperlink"/>
          </w:rPr>
          <w:t>Women</w:t>
        </w:r>
        <w:r w:rsidR="006F1291">
          <w:rPr>
            <w:webHidden/>
          </w:rPr>
          <w:tab/>
        </w:r>
        <w:r w:rsidR="006F1291">
          <w:rPr>
            <w:webHidden/>
          </w:rPr>
          <w:fldChar w:fldCharType="begin"/>
        </w:r>
        <w:r w:rsidR="006F1291">
          <w:rPr>
            <w:webHidden/>
          </w:rPr>
          <w:instrText xml:space="preserve"> PAGEREF _Toc513116826 \h </w:instrText>
        </w:r>
        <w:r w:rsidR="006F1291">
          <w:rPr>
            <w:webHidden/>
          </w:rPr>
        </w:r>
        <w:r w:rsidR="006F1291">
          <w:rPr>
            <w:webHidden/>
          </w:rPr>
          <w:fldChar w:fldCharType="separate"/>
        </w:r>
        <w:r w:rsidR="006F1291">
          <w:rPr>
            <w:webHidden/>
          </w:rPr>
          <w:t>19</w:t>
        </w:r>
        <w:r w:rsidR="006F1291">
          <w:rPr>
            <w:webHidden/>
          </w:rPr>
          <w:fldChar w:fldCharType="end"/>
        </w:r>
      </w:hyperlink>
    </w:p>
    <w:p w:rsidR="006F1291" w:rsidRDefault="00C42C2B">
      <w:pPr>
        <w:pStyle w:val="TOC2"/>
        <w:tabs>
          <w:tab w:val="left" w:pos="1418"/>
        </w:tabs>
        <w:rPr>
          <w:rFonts w:asciiTheme="minorHAnsi" w:eastAsiaTheme="minorEastAsia" w:hAnsiTheme="minorHAnsi" w:cstheme="minorBidi"/>
          <w:sz w:val="22"/>
          <w:szCs w:val="22"/>
          <w:lang w:eastAsia="en-AU"/>
        </w:rPr>
      </w:pPr>
      <w:hyperlink w:anchor="_Toc513116827" w:history="1">
        <w:r w:rsidR="006F1291" w:rsidRPr="00E65A48">
          <w:rPr>
            <w:rStyle w:val="Hyperlink"/>
          </w:rPr>
          <w:t>3.2</w:t>
        </w:r>
        <w:r w:rsidR="006F1291">
          <w:rPr>
            <w:rFonts w:asciiTheme="minorHAnsi" w:eastAsiaTheme="minorEastAsia" w:hAnsiTheme="minorHAnsi" w:cstheme="minorBidi"/>
            <w:sz w:val="22"/>
            <w:szCs w:val="22"/>
            <w:lang w:eastAsia="en-AU"/>
          </w:rPr>
          <w:tab/>
        </w:r>
        <w:r w:rsidR="006F1291" w:rsidRPr="00E65A48">
          <w:rPr>
            <w:rStyle w:val="Hyperlink"/>
          </w:rPr>
          <w:t>Indigenous groups</w:t>
        </w:r>
        <w:r w:rsidR="006F1291">
          <w:rPr>
            <w:webHidden/>
          </w:rPr>
          <w:tab/>
        </w:r>
        <w:r w:rsidR="006F1291">
          <w:rPr>
            <w:webHidden/>
          </w:rPr>
          <w:fldChar w:fldCharType="begin"/>
        </w:r>
        <w:r w:rsidR="006F1291">
          <w:rPr>
            <w:webHidden/>
          </w:rPr>
          <w:instrText xml:space="preserve"> PAGEREF _Toc513116827 \h </w:instrText>
        </w:r>
        <w:r w:rsidR="006F1291">
          <w:rPr>
            <w:webHidden/>
          </w:rPr>
        </w:r>
        <w:r w:rsidR="006F1291">
          <w:rPr>
            <w:webHidden/>
          </w:rPr>
          <w:fldChar w:fldCharType="separate"/>
        </w:r>
        <w:r w:rsidR="006F1291">
          <w:rPr>
            <w:webHidden/>
          </w:rPr>
          <w:t>20</w:t>
        </w:r>
        <w:r w:rsidR="006F1291">
          <w:rPr>
            <w:webHidden/>
          </w:rPr>
          <w:fldChar w:fldCharType="end"/>
        </w:r>
      </w:hyperlink>
    </w:p>
    <w:p w:rsidR="006F1291" w:rsidRDefault="00C42C2B">
      <w:pPr>
        <w:pStyle w:val="TOC2"/>
        <w:tabs>
          <w:tab w:val="left" w:pos="1418"/>
        </w:tabs>
        <w:rPr>
          <w:rFonts w:asciiTheme="minorHAnsi" w:eastAsiaTheme="minorEastAsia" w:hAnsiTheme="minorHAnsi" w:cstheme="minorBidi"/>
          <w:sz w:val="22"/>
          <w:szCs w:val="22"/>
          <w:lang w:eastAsia="en-AU"/>
        </w:rPr>
      </w:pPr>
      <w:hyperlink w:anchor="_Toc513116828" w:history="1">
        <w:r w:rsidR="006F1291" w:rsidRPr="00E65A48">
          <w:rPr>
            <w:rStyle w:val="Hyperlink"/>
          </w:rPr>
          <w:t>3.3</w:t>
        </w:r>
        <w:r w:rsidR="006F1291">
          <w:rPr>
            <w:rFonts w:asciiTheme="minorHAnsi" w:eastAsiaTheme="minorEastAsia" w:hAnsiTheme="minorHAnsi" w:cstheme="minorBidi"/>
            <w:sz w:val="22"/>
            <w:szCs w:val="22"/>
            <w:lang w:eastAsia="en-AU"/>
          </w:rPr>
          <w:tab/>
        </w:r>
        <w:r w:rsidR="006F1291" w:rsidRPr="00E65A48">
          <w:rPr>
            <w:rStyle w:val="Hyperlink"/>
          </w:rPr>
          <w:t>Minority groups</w:t>
        </w:r>
        <w:r w:rsidR="006F1291">
          <w:rPr>
            <w:webHidden/>
          </w:rPr>
          <w:tab/>
        </w:r>
        <w:r w:rsidR="006F1291">
          <w:rPr>
            <w:webHidden/>
          </w:rPr>
          <w:fldChar w:fldCharType="begin"/>
        </w:r>
        <w:r w:rsidR="006F1291">
          <w:rPr>
            <w:webHidden/>
          </w:rPr>
          <w:instrText xml:space="preserve"> PAGEREF _Toc513116828 \h </w:instrText>
        </w:r>
        <w:r w:rsidR="006F1291">
          <w:rPr>
            <w:webHidden/>
          </w:rPr>
        </w:r>
        <w:r w:rsidR="006F1291">
          <w:rPr>
            <w:webHidden/>
          </w:rPr>
          <w:fldChar w:fldCharType="separate"/>
        </w:r>
        <w:r w:rsidR="006F1291">
          <w:rPr>
            <w:webHidden/>
          </w:rPr>
          <w:t>20</w:t>
        </w:r>
        <w:r w:rsidR="006F1291">
          <w:rPr>
            <w:webHidden/>
          </w:rPr>
          <w:fldChar w:fldCharType="end"/>
        </w:r>
      </w:hyperlink>
    </w:p>
    <w:p w:rsidR="006F1291" w:rsidRDefault="00C42C2B">
      <w:pPr>
        <w:pStyle w:val="TOC2"/>
        <w:tabs>
          <w:tab w:val="left" w:pos="1418"/>
        </w:tabs>
        <w:rPr>
          <w:rFonts w:asciiTheme="minorHAnsi" w:eastAsiaTheme="minorEastAsia" w:hAnsiTheme="minorHAnsi" w:cstheme="minorBidi"/>
          <w:sz w:val="22"/>
          <w:szCs w:val="22"/>
          <w:lang w:eastAsia="en-AU"/>
        </w:rPr>
      </w:pPr>
      <w:hyperlink w:anchor="_Toc513116829" w:history="1">
        <w:r w:rsidR="006F1291" w:rsidRPr="00E65A48">
          <w:rPr>
            <w:rStyle w:val="Hyperlink"/>
          </w:rPr>
          <w:t>3.4</w:t>
        </w:r>
        <w:r w:rsidR="006F1291">
          <w:rPr>
            <w:rFonts w:asciiTheme="minorHAnsi" w:eastAsiaTheme="minorEastAsia" w:hAnsiTheme="minorHAnsi" w:cstheme="minorBidi"/>
            <w:sz w:val="22"/>
            <w:szCs w:val="22"/>
            <w:lang w:eastAsia="en-AU"/>
          </w:rPr>
          <w:tab/>
        </w:r>
        <w:r w:rsidR="006F1291" w:rsidRPr="00E65A48">
          <w:rPr>
            <w:rStyle w:val="Hyperlink"/>
          </w:rPr>
          <w:t>Landless People and Squatters</w:t>
        </w:r>
        <w:r w:rsidR="006F1291">
          <w:rPr>
            <w:webHidden/>
          </w:rPr>
          <w:tab/>
        </w:r>
        <w:r w:rsidR="006F1291">
          <w:rPr>
            <w:webHidden/>
          </w:rPr>
          <w:fldChar w:fldCharType="begin"/>
        </w:r>
        <w:r w:rsidR="006F1291">
          <w:rPr>
            <w:webHidden/>
          </w:rPr>
          <w:instrText xml:space="preserve"> PAGEREF _Toc513116829 \h </w:instrText>
        </w:r>
        <w:r w:rsidR="006F1291">
          <w:rPr>
            <w:webHidden/>
          </w:rPr>
        </w:r>
        <w:r w:rsidR="006F1291">
          <w:rPr>
            <w:webHidden/>
          </w:rPr>
          <w:fldChar w:fldCharType="separate"/>
        </w:r>
        <w:r w:rsidR="006F1291">
          <w:rPr>
            <w:webHidden/>
          </w:rPr>
          <w:t>22</w:t>
        </w:r>
        <w:r w:rsidR="006F1291">
          <w:rPr>
            <w:webHidden/>
          </w:rPr>
          <w:fldChar w:fldCharType="end"/>
        </w:r>
      </w:hyperlink>
    </w:p>
    <w:p w:rsidR="006F1291" w:rsidRDefault="00C42C2B">
      <w:pPr>
        <w:pStyle w:val="TOC1"/>
        <w:rPr>
          <w:rFonts w:asciiTheme="minorHAnsi" w:eastAsiaTheme="minorEastAsia" w:hAnsiTheme="minorHAnsi" w:cstheme="minorBidi"/>
          <w:b w:val="0"/>
          <w:sz w:val="22"/>
          <w:szCs w:val="22"/>
          <w:lang w:eastAsia="en-AU"/>
        </w:rPr>
      </w:pPr>
      <w:hyperlink w:anchor="_Toc513116830" w:history="1">
        <w:r w:rsidR="006F1291" w:rsidRPr="00E65A48">
          <w:rPr>
            <w:rStyle w:val="Hyperlink"/>
          </w:rPr>
          <w:t>4</w:t>
        </w:r>
        <w:r w:rsidR="006F1291">
          <w:rPr>
            <w:rFonts w:asciiTheme="minorHAnsi" w:eastAsiaTheme="minorEastAsia" w:hAnsiTheme="minorHAnsi" w:cstheme="minorBidi"/>
            <w:b w:val="0"/>
            <w:sz w:val="22"/>
            <w:szCs w:val="22"/>
            <w:lang w:eastAsia="en-AU"/>
          </w:rPr>
          <w:tab/>
        </w:r>
        <w:r w:rsidR="006F1291" w:rsidRPr="00E65A48">
          <w:rPr>
            <w:rStyle w:val="Hyperlink"/>
          </w:rPr>
          <w:t>Eviction, Expropriation and Relocation</w:t>
        </w:r>
        <w:r w:rsidR="006F1291">
          <w:rPr>
            <w:webHidden/>
          </w:rPr>
          <w:tab/>
        </w:r>
        <w:r w:rsidR="006F1291">
          <w:rPr>
            <w:webHidden/>
          </w:rPr>
          <w:fldChar w:fldCharType="begin"/>
        </w:r>
        <w:r w:rsidR="006F1291">
          <w:rPr>
            <w:webHidden/>
          </w:rPr>
          <w:instrText xml:space="preserve"> PAGEREF _Toc513116830 \h </w:instrText>
        </w:r>
        <w:r w:rsidR="006F1291">
          <w:rPr>
            <w:webHidden/>
          </w:rPr>
        </w:r>
        <w:r w:rsidR="006F1291">
          <w:rPr>
            <w:webHidden/>
          </w:rPr>
          <w:fldChar w:fldCharType="separate"/>
        </w:r>
        <w:r w:rsidR="006F1291">
          <w:rPr>
            <w:webHidden/>
          </w:rPr>
          <w:t>22</w:t>
        </w:r>
        <w:r w:rsidR="006F1291">
          <w:rPr>
            <w:webHidden/>
          </w:rPr>
          <w:fldChar w:fldCharType="end"/>
        </w:r>
      </w:hyperlink>
    </w:p>
    <w:p w:rsidR="006F1291" w:rsidRDefault="00C42C2B">
      <w:pPr>
        <w:pStyle w:val="TOC2"/>
        <w:tabs>
          <w:tab w:val="left" w:pos="1418"/>
        </w:tabs>
        <w:rPr>
          <w:rFonts w:asciiTheme="minorHAnsi" w:eastAsiaTheme="minorEastAsia" w:hAnsiTheme="minorHAnsi" w:cstheme="minorBidi"/>
          <w:sz w:val="22"/>
          <w:szCs w:val="22"/>
          <w:lang w:eastAsia="en-AU"/>
        </w:rPr>
      </w:pPr>
      <w:hyperlink w:anchor="_Toc513116831" w:history="1">
        <w:r w:rsidR="006F1291" w:rsidRPr="00E65A48">
          <w:rPr>
            <w:rStyle w:val="Hyperlink"/>
          </w:rPr>
          <w:t>4.1</w:t>
        </w:r>
        <w:r w:rsidR="006F1291">
          <w:rPr>
            <w:rFonts w:asciiTheme="minorHAnsi" w:eastAsiaTheme="minorEastAsia" w:hAnsiTheme="minorHAnsi" w:cstheme="minorBidi"/>
            <w:sz w:val="22"/>
            <w:szCs w:val="22"/>
            <w:lang w:eastAsia="en-AU"/>
          </w:rPr>
          <w:tab/>
        </w:r>
        <w:r w:rsidR="006F1291" w:rsidRPr="00E65A48">
          <w:rPr>
            <w:rStyle w:val="Hyperlink"/>
          </w:rPr>
          <w:t>Eviction</w:t>
        </w:r>
        <w:r w:rsidR="006F1291">
          <w:rPr>
            <w:webHidden/>
          </w:rPr>
          <w:tab/>
        </w:r>
        <w:r w:rsidR="006F1291">
          <w:rPr>
            <w:webHidden/>
          </w:rPr>
          <w:fldChar w:fldCharType="begin"/>
        </w:r>
        <w:r w:rsidR="006F1291">
          <w:rPr>
            <w:webHidden/>
          </w:rPr>
          <w:instrText xml:space="preserve"> PAGEREF _Toc513116831 \h </w:instrText>
        </w:r>
        <w:r w:rsidR="006F1291">
          <w:rPr>
            <w:webHidden/>
          </w:rPr>
        </w:r>
        <w:r w:rsidR="006F1291">
          <w:rPr>
            <w:webHidden/>
          </w:rPr>
          <w:fldChar w:fldCharType="separate"/>
        </w:r>
        <w:r w:rsidR="006F1291">
          <w:rPr>
            <w:webHidden/>
          </w:rPr>
          <w:t>22</w:t>
        </w:r>
        <w:r w:rsidR="006F1291">
          <w:rPr>
            <w:webHidden/>
          </w:rPr>
          <w:fldChar w:fldCharType="end"/>
        </w:r>
      </w:hyperlink>
    </w:p>
    <w:p w:rsidR="006F1291" w:rsidRDefault="00C42C2B">
      <w:pPr>
        <w:pStyle w:val="TOC2"/>
        <w:tabs>
          <w:tab w:val="left" w:pos="1418"/>
        </w:tabs>
        <w:rPr>
          <w:rFonts w:asciiTheme="minorHAnsi" w:eastAsiaTheme="minorEastAsia" w:hAnsiTheme="minorHAnsi" w:cstheme="minorBidi"/>
          <w:sz w:val="22"/>
          <w:szCs w:val="22"/>
          <w:lang w:eastAsia="en-AU"/>
        </w:rPr>
      </w:pPr>
      <w:hyperlink w:anchor="_Toc513116832" w:history="1">
        <w:r w:rsidR="006F1291" w:rsidRPr="00E65A48">
          <w:rPr>
            <w:rStyle w:val="Hyperlink"/>
          </w:rPr>
          <w:t>4.2</w:t>
        </w:r>
        <w:r w:rsidR="006F1291">
          <w:rPr>
            <w:rFonts w:asciiTheme="minorHAnsi" w:eastAsiaTheme="minorEastAsia" w:hAnsiTheme="minorHAnsi" w:cstheme="minorBidi"/>
            <w:sz w:val="22"/>
            <w:szCs w:val="22"/>
            <w:lang w:eastAsia="en-AU"/>
          </w:rPr>
          <w:tab/>
        </w:r>
        <w:r w:rsidR="006F1291" w:rsidRPr="00E65A48">
          <w:rPr>
            <w:rStyle w:val="Hyperlink"/>
          </w:rPr>
          <w:t>Expropriation</w:t>
        </w:r>
        <w:r w:rsidR="006F1291">
          <w:rPr>
            <w:webHidden/>
          </w:rPr>
          <w:tab/>
        </w:r>
        <w:r w:rsidR="006F1291">
          <w:rPr>
            <w:webHidden/>
          </w:rPr>
          <w:fldChar w:fldCharType="begin"/>
        </w:r>
        <w:r w:rsidR="006F1291">
          <w:rPr>
            <w:webHidden/>
          </w:rPr>
          <w:instrText xml:space="preserve"> PAGEREF _Toc513116832 \h </w:instrText>
        </w:r>
        <w:r w:rsidR="006F1291">
          <w:rPr>
            <w:webHidden/>
          </w:rPr>
        </w:r>
        <w:r w:rsidR="006F1291">
          <w:rPr>
            <w:webHidden/>
          </w:rPr>
          <w:fldChar w:fldCharType="separate"/>
        </w:r>
        <w:r w:rsidR="006F1291">
          <w:rPr>
            <w:webHidden/>
          </w:rPr>
          <w:t>23</w:t>
        </w:r>
        <w:r w:rsidR="006F1291">
          <w:rPr>
            <w:webHidden/>
          </w:rPr>
          <w:fldChar w:fldCharType="end"/>
        </w:r>
      </w:hyperlink>
    </w:p>
    <w:p w:rsidR="006F1291" w:rsidRDefault="00C42C2B">
      <w:pPr>
        <w:pStyle w:val="TOC2"/>
        <w:tabs>
          <w:tab w:val="left" w:pos="1418"/>
        </w:tabs>
        <w:rPr>
          <w:rFonts w:asciiTheme="minorHAnsi" w:eastAsiaTheme="minorEastAsia" w:hAnsiTheme="minorHAnsi" w:cstheme="minorBidi"/>
          <w:sz w:val="22"/>
          <w:szCs w:val="22"/>
          <w:lang w:eastAsia="en-AU"/>
        </w:rPr>
      </w:pPr>
      <w:hyperlink w:anchor="_Toc513116833" w:history="1">
        <w:r w:rsidR="006F1291" w:rsidRPr="00E65A48">
          <w:rPr>
            <w:rStyle w:val="Hyperlink"/>
          </w:rPr>
          <w:t>4.3</w:t>
        </w:r>
        <w:r w:rsidR="006F1291">
          <w:rPr>
            <w:rFonts w:asciiTheme="minorHAnsi" w:eastAsiaTheme="minorEastAsia" w:hAnsiTheme="minorHAnsi" w:cstheme="minorBidi"/>
            <w:sz w:val="22"/>
            <w:szCs w:val="22"/>
            <w:lang w:eastAsia="en-AU"/>
          </w:rPr>
          <w:tab/>
        </w:r>
        <w:r w:rsidR="006F1291" w:rsidRPr="00E65A48">
          <w:rPr>
            <w:rStyle w:val="Hyperlink"/>
          </w:rPr>
          <w:t>Relocation</w:t>
        </w:r>
        <w:r w:rsidR="006F1291">
          <w:rPr>
            <w:webHidden/>
          </w:rPr>
          <w:tab/>
        </w:r>
        <w:r w:rsidR="006F1291">
          <w:rPr>
            <w:webHidden/>
          </w:rPr>
          <w:fldChar w:fldCharType="begin"/>
        </w:r>
        <w:r w:rsidR="006F1291">
          <w:rPr>
            <w:webHidden/>
          </w:rPr>
          <w:instrText xml:space="preserve"> PAGEREF _Toc513116833 \h </w:instrText>
        </w:r>
        <w:r w:rsidR="006F1291">
          <w:rPr>
            <w:webHidden/>
          </w:rPr>
        </w:r>
        <w:r w:rsidR="006F1291">
          <w:rPr>
            <w:webHidden/>
          </w:rPr>
          <w:fldChar w:fldCharType="separate"/>
        </w:r>
        <w:r w:rsidR="006F1291">
          <w:rPr>
            <w:webHidden/>
          </w:rPr>
          <w:t>24</w:t>
        </w:r>
        <w:r w:rsidR="006F1291">
          <w:rPr>
            <w:webHidden/>
          </w:rPr>
          <w:fldChar w:fldCharType="end"/>
        </w:r>
      </w:hyperlink>
    </w:p>
    <w:p w:rsidR="006F1291" w:rsidRDefault="00C42C2B">
      <w:pPr>
        <w:pStyle w:val="TOC2"/>
        <w:tabs>
          <w:tab w:val="left" w:pos="1418"/>
        </w:tabs>
        <w:rPr>
          <w:rFonts w:asciiTheme="minorHAnsi" w:eastAsiaTheme="minorEastAsia" w:hAnsiTheme="minorHAnsi" w:cstheme="minorBidi"/>
          <w:sz w:val="22"/>
          <w:szCs w:val="22"/>
          <w:lang w:eastAsia="en-AU"/>
        </w:rPr>
      </w:pPr>
      <w:hyperlink w:anchor="_Toc513116834" w:history="1">
        <w:r w:rsidR="006F1291" w:rsidRPr="00E65A48">
          <w:rPr>
            <w:rStyle w:val="Hyperlink"/>
          </w:rPr>
          <w:t>4.4</w:t>
        </w:r>
        <w:r w:rsidR="006F1291">
          <w:rPr>
            <w:rFonts w:asciiTheme="minorHAnsi" w:eastAsiaTheme="minorEastAsia" w:hAnsiTheme="minorHAnsi" w:cstheme="minorBidi"/>
            <w:sz w:val="22"/>
            <w:szCs w:val="22"/>
            <w:lang w:eastAsia="en-AU"/>
          </w:rPr>
          <w:tab/>
        </w:r>
        <w:r w:rsidR="006F1291" w:rsidRPr="00E65A48">
          <w:rPr>
            <w:rStyle w:val="Hyperlink"/>
          </w:rPr>
          <w:t>Compensation for expropriation and relocation</w:t>
        </w:r>
        <w:r w:rsidR="006F1291">
          <w:rPr>
            <w:webHidden/>
          </w:rPr>
          <w:tab/>
        </w:r>
        <w:r w:rsidR="006F1291">
          <w:rPr>
            <w:webHidden/>
          </w:rPr>
          <w:fldChar w:fldCharType="begin"/>
        </w:r>
        <w:r w:rsidR="006F1291">
          <w:rPr>
            <w:webHidden/>
          </w:rPr>
          <w:instrText xml:space="preserve"> PAGEREF _Toc513116834 \h </w:instrText>
        </w:r>
        <w:r w:rsidR="006F1291">
          <w:rPr>
            <w:webHidden/>
          </w:rPr>
        </w:r>
        <w:r w:rsidR="006F1291">
          <w:rPr>
            <w:webHidden/>
          </w:rPr>
          <w:fldChar w:fldCharType="separate"/>
        </w:r>
        <w:r w:rsidR="006F1291">
          <w:rPr>
            <w:webHidden/>
          </w:rPr>
          <w:t>24</w:t>
        </w:r>
        <w:r w:rsidR="006F1291">
          <w:rPr>
            <w:webHidden/>
          </w:rPr>
          <w:fldChar w:fldCharType="end"/>
        </w:r>
      </w:hyperlink>
    </w:p>
    <w:p w:rsidR="006F1291" w:rsidRDefault="00C42C2B">
      <w:pPr>
        <w:pStyle w:val="TOC2"/>
        <w:tabs>
          <w:tab w:val="left" w:pos="1418"/>
        </w:tabs>
        <w:rPr>
          <w:rFonts w:asciiTheme="minorHAnsi" w:eastAsiaTheme="minorEastAsia" w:hAnsiTheme="minorHAnsi" w:cstheme="minorBidi"/>
          <w:sz w:val="22"/>
          <w:szCs w:val="22"/>
          <w:lang w:eastAsia="en-AU"/>
        </w:rPr>
      </w:pPr>
      <w:hyperlink w:anchor="_Toc513116835" w:history="1">
        <w:r w:rsidR="006F1291" w:rsidRPr="00E65A48">
          <w:rPr>
            <w:rStyle w:val="Hyperlink"/>
            <w:rFonts w:eastAsiaTheme="minorHAnsi"/>
            <w:lang w:val="en-US"/>
          </w:rPr>
          <w:t>4.5</w:t>
        </w:r>
        <w:r w:rsidR="006F1291">
          <w:rPr>
            <w:rFonts w:asciiTheme="minorHAnsi" w:eastAsiaTheme="minorEastAsia" w:hAnsiTheme="minorHAnsi" w:cstheme="minorBidi"/>
            <w:sz w:val="22"/>
            <w:szCs w:val="22"/>
            <w:lang w:eastAsia="en-AU"/>
          </w:rPr>
          <w:tab/>
        </w:r>
        <w:r w:rsidR="006F1291" w:rsidRPr="00E65A48">
          <w:rPr>
            <w:rStyle w:val="Hyperlink"/>
            <w:rFonts w:eastAsiaTheme="minorHAnsi"/>
            <w:lang w:val="en-US"/>
          </w:rPr>
          <w:t>Shelter cluster</w:t>
        </w:r>
        <w:r w:rsidR="006F1291">
          <w:rPr>
            <w:webHidden/>
          </w:rPr>
          <w:tab/>
        </w:r>
        <w:r w:rsidR="006F1291">
          <w:rPr>
            <w:webHidden/>
          </w:rPr>
          <w:fldChar w:fldCharType="begin"/>
        </w:r>
        <w:r w:rsidR="006F1291">
          <w:rPr>
            <w:webHidden/>
          </w:rPr>
          <w:instrText xml:space="preserve"> PAGEREF _Toc513116835 \h </w:instrText>
        </w:r>
        <w:r w:rsidR="006F1291">
          <w:rPr>
            <w:webHidden/>
          </w:rPr>
        </w:r>
        <w:r w:rsidR="006F1291">
          <w:rPr>
            <w:webHidden/>
          </w:rPr>
          <w:fldChar w:fldCharType="separate"/>
        </w:r>
        <w:r w:rsidR="006F1291">
          <w:rPr>
            <w:webHidden/>
          </w:rPr>
          <w:t>24</w:t>
        </w:r>
        <w:r w:rsidR="006F1291">
          <w:rPr>
            <w:webHidden/>
          </w:rPr>
          <w:fldChar w:fldCharType="end"/>
        </w:r>
      </w:hyperlink>
    </w:p>
    <w:p w:rsidR="00FC0D13" w:rsidRDefault="00FC0D13" w:rsidP="008F3D6F">
      <w:r>
        <w:fldChar w:fldCharType="end"/>
      </w:r>
    </w:p>
    <w:p w:rsidR="00187B42" w:rsidRPr="00E6097F" w:rsidRDefault="00187B42" w:rsidP="00FC0D13">
      <w:pPr>
        <w:rPr>
          <w:rFonts w:cs="Arial"/>
        </w:rPr>
      </w:pPr>
    </w:p>
    <w:p w:rsidR="00FC0D13" w:rsidRDefault="00FC0D13" w:rsidP="00FC0D13"/>
    <w:p w:rsidR="00FC0D13" w:rsidRPr="00886258" w:rsidRDefault="00FC0D13" w:rsidP="00FC0D13">
      <w:pPr>
        <w:rPr>
          <w:b/>
        </w:rPr>
      </w:pPr>
      <w:r w:rsidRPr="00886258">
        <w:rPr>
          <w:b/>
        </w:rPr>
        <w:t>Acknowledgements</w:t>
      </w:r>
    </w:p>
    <w:p w:rsidR="00FC0D13" w:rsidRPr="004B30A3" w:rsidRDefault="00FC0D13" w:rsidP="00FC0D13">
      <w:pPr>
        <w:rPr>
          <w:highlight w:val="yellow"/>
        </w:rPr>
      </w:pPr>
      <w:r w:rsidRPr="00D4796C">
        <w:t xml:space="preserve">In preparing this memorandum, </w:t>
      </w:r>
      <w:proofErr w:type="spellStart"/>
      <w:r w:rsidRPr="00D4796C">
        <w:t>Allens</w:t>
      </w:r>
      <w:proofErr w:type="spellEnd"/>
      <w:r w:rsidRPr="00D4796C">
        <w:t xml:space="preserve"> has received </w:t>
      </w:r>
      <w:r>
        <w:t>valuable</w:t>
      </w:r>
      <w:r w:rsidRPr="00D4796C">
        <w:t xml:space="preserve"> assistance from </w:t>
      </w:r>
      <w:r>
        <w:t>Alan McNeil</w:t>
      </w:r>
      <w:r w:rsidRPr="00D4796C">
        <w:t xml:space="preserve">, </w:t>
      </w:r>
      <w:r>
        <w:t>Chief Technical Advisor to the Ministry for Lands, Housing and Survey of the Solomon Islands</w:t>
      </w:r>
      <w:r w:rsidRPr="00D4796C">
        <w:t xml:space="preserve">. </w:t>
      </w:r>
      <w:proofErr w:type="spellStart"/>
      <w:r w:rsidRPr="00D4796C">
        <w:t>Allens</w:t>
      </w:r>
      <w:proofErr w:type="spellEnd"/>
      <w:r w:rsidRPr="00D4796C">
        <w:t xml:space="preserve"> is grateful to </w:t>
      </w:r>
      <w:r>
        <w:t xml:space="preserve">Mr McNeil </w:t>
      </w:r>
      <w:r w:rsidRPr="00D4796C">
        <w:t xml:space="preserve">for </w:t>
      </w:r>
      <w:r>
        <w:t>his</w:t>
      </w:r>
      <w:r w:rsidRPr="00D4796C">
        <w:t xml:space="preserve"> generous and invaluable contribution to this research.</w:t>
      </w:r>
    </w:p>
    <w:p w:rsidR="00FC0D13" w:rsidRPr="004B30A3" w:rsidRDefault="00FC0D13" w:rsidP="00FC0D13">
      <w:pPr>
        <w:rPr>
          <w:highlight w:val="yellow"/>
        </w:rPr>
      </w:pPr>
    </w:p>
    <w:p w:rsidR="00FC0D13" w:rsidRPr="00E96B3D" w:rsidRDefault="00FC0D13" w:rsidP="00FC0D13">
      <w:pPr>
        <w:rPr>
          <w:b/>
        </w:rPr>
      </w:pPr>
      <w:r w:rsidRPr="00E96B3D">
        <w:rPr>
          <w:b/>
        </w:rPr>
        <w:t>Disclaimer</w:t>
      </w:r>
    </w:p>
    <w:p w:rsidR="00C844EA" w:rsidRDefault="00FC0D13" w:rsidP="00FC0D13">
      <w:r w:rsidRPr="00E96B3D">
        <w:t>This report is the</w:t>
      </w:r>
      <w:r>
        <w:t xml:space="preserve"> result of a desktop review of publically available information. This report is not legal advice.</w:t>
      </w:r>
    </w:p>
    <w:p w:rsidR="00C844EA" w:rsidRDefault="00C844EA" w:rsidP="00C844EA">
      <w:r>
        <w:br w:type="page"/>
      </w:r>
    </w:p>
    <w:p w:rsidR="00FC0D13" w:rsidRDefault="00FC0D13" w:rsidP="00C54731">
      <w:pPr>
        <w:pStyle w:val="AllensHeading1"/>
        <w:numPr>
          <w:ilvl w:val="0"/>
          <w:numId w:val="47"/>
        </w:numPr>
        <w:tabs>
          <w:tab w:val="clear" w:pos="709"/>
          <w:tab w:val="num" w:pos="720"/>
        </w:tabs>
      </w:pPr>
      <w:bookmarkStart w:id="40" w:name="_Toc513116817"/>
      <w:r>
        <w:lastRenderedPageBreak/>
        <w:t>Introduction</w:t>
      </w:r>
      <w:bookmarkEnd w:id="40"/>
    </w:p>
    <w:p w:rsidR="00FC0D13" w:rsidRDefault="00FC0D13" w:rsidP="00FC0D13">
      <w:pPr>
        <w:pStyle w:val="AllensHeading2"/>
      </w:pPr>
      <w:bookmarkStart w:id="41" w:name="_Toc513116818"/>
      <w:r>
        <w:t>Overview</w:t>
      </w:r>
      <w:bookmarkEnd w:id="41"/>
    </w:p>
    <w:p w:rsidR="00FC0D13" w:rsidRDefault="00FC0D13" w:rsidP="00FC0D13">
      <w:pPr>
        <w:ind w:left="709"/>
        <w:rPr>
          <w:lang w:val="en-GB"/>
        </w:rPr>
      </w:pPr>
      <w:r w:rsidRPr="00DA20DA">
        <w:rPr>
          <w:lang w:val="en-GB"/>
        </w:rPr>
        <w:t>The Red Cross Red Crescent aims to respond to disasters as rapidly and effectively as possible, by mobili</w:t>
      </w:r>
      <w:r>
        <w:rPr>
          <w:lang w:val="en-GB"/>
        </w:rPr>
        <w:t>s</w:t>
      </w:r>
      <w:r w:rsidRPr="00DA20DA">
        <w:rPr>
          <w:lang w:val="en-GB"/>
        </w:rPr>
        <w:t>ing its resources (people, money and other assets) and using its network in a coordinated manner so that the initial effects are countered and the needs of the affected communities are met.</w:t>
      </w:r>
    </w:p>
    <w:p w:rsidR="00FC0D13" w:rsidRDefault="00FC0D13" w:rsidP="00FC0D13">
      <w:pPr>
        <w:ind w:left="709"/>
        <w:rPr>
          <w:lang w:val="en-GB"/>
        </w:rPr>
      </w:pPr>
      <w:r w:rsidRPr="00DA20DA">
        <w:rPr>
          <w:lang w:val="en-GB"/>
        </w:rPr>
        <w:t>The Australian Red Cross (</w:t>
      </w:r>
      <w:r w:rsidRPr="00DA20DA">
        <w:rPr>
          <w:b/>
          <w:bCs/>
          <w:i/>
          <w:iCs/>
          <w:lang w:val="en-GB"/>
        </w:rPr>
        <w:t>ARC</w:t>
      </w:r>
      <w:r w:rsidRPr="00DA20DA">
        <w:rPr>
          <w:lang w:val="en-GB"/>
        </w:rPr>
        <w:t xml:space="preserve">) is a key Partner National Society, </w:t>
      </w:r>
      <w:proofErr w:type="gramStart"/>
      <w:r w:rsidRPr="00DA20DA">
        <w:rPr>
          <w:lang w:val="en-GB"/>
        </w:rPr>
        <w:t>supporting  the</w:t>
      </w:r>
      <w:proofErr w:type="gramEnd"/>
      <w:r w:rsidRPr="00DA20DA">
        <w:rPr>
          <w:lang w:val="en-GB"/>
        </w:rPr>
        <w:t> International Federation of Red Cross and Red Crescent Societies (</w:t>
      </w:r>
      <w:r w:rsidRPr="00DA20DA">
        <w:rPr>
          <w:b/>
          <w:bCs/>
          <w:lang w:val="en-GB"/>
        </w:rPr>
        <w:t>IFRC</w:t>
      </w:r>
      <w:r w:rsidRPr="00DA20DA">
        <w:rPr>
          <w:lang w:val="en-GB"/>
        </w:rPr>
        <w:t>) response to natural disasters in the A</w:t>
      </w:r>
      <w:r>
        <w:rPr>
          <w:lang w:val="en-GB"/>
        </w:rPr>
        <w:t>sia-Pacific.</w:t>
      </w:r>
    </w:p>
    <w:p w:rsidR="00FC0D13" w:rsidRDefault="00FC0D13" w:rsidP="00FC0D13">
      <w:pPr>
        <w:ind w:left="709"/>
        <w:rPr>
          <w:lang w:val="en-GB"/>
        </w:rPr>
      </w:pPr>
      <w:r w:rsidRPr="00DA20DA">
        <w:rPr>
          <w:lang w:val="en-GB"/>
        </w:rPr>
        <w:t>The Red Cross Red Crescent has identified that better knowledge of local housing, land and property laws in the Asia-Pacific is vital to ensuring that emergency shelter is delivered efficiently and equitably in the aftermath of natural disaste</w:t>
      </w:r>
      <w:r>
        <w:rPr>
          <w:lang w:val="en-GB"/>
        </w:rPr>
        <w:t>rs.</w:t>
      </w:r>
    </w:p>
    <w:p w:rsidR="00FC0D13" w:rsidRDefault="00FC0D13" w:rsidP="00FC0D13">
      <w:pPr>
        <w:ind w:left="709"/>
      </w:pPr>
      <w:r w:rsidRPr="00DA20DA">
        <w:rPr>
          <w:lang w:val="en-GB"/>
        </w:rPr>
        <w:t xml:space="preserve">Australian Red Cross, with technical support and initial research from IFRC, has provided the research template to which this memorandum responds. </w:t>
      </w:r>
      <w:r>
        <w:t>This memorandum comprises three main sections.</w:t>
      </w:r>
    </w:p>
    <w:p w:rsidR="00FC0D13" w:rsidRPr="00AC7778" w:rsidRDefault="00FC0D13" w:rsidP="00FC0D13">
      <w:pPr>
        <w:pStyle w:val="Bullet2"/>
      </w:pPr>
      <w:r>
        <w:t xml:space="preserve">The first </w:t>
      </w:r>
      <w:r w:rsidRPr="00AC7778">
        <w:t>section, '</w:t>
      </w:r>
      <w:hyperlink w:anchor="Common_Types_of_Tenure" w:history="1">
        <w:r w:rsidRPr="00AC7778">
          <w:rPr>
            <w:rStyle w:val="Hyperlink"/>
            <w:color w:val="auto"/>
            <w:u w:val="none"/>
          </w:rPr>
          <w:t>common types of tenure</w:t>
        </w:r>
      </w:hyperlink>
      <w:r w:rsidRPr="00AC7778">
        <w:t>', provides an overview of the different types of housing and land tenure in Solomon Islands. It outlines the methods used to create and transfer tenure, and analyses the degree of security of tenure afforded by each form of tenure.</w:t>
      </w:r>
    </w:p>
    <w:p w:rsidR="00FC0D13" w:rsidRPr="00AC7778" w:rsidRDefault="00FC0D13" w:rsidP="00FC0D13">
      <w:pPr>
        <w:pStyle w:val="Bullet2"/>
      </w:pPr>
      <w:r w:rsidRPr="00AC7778">
        <w:t>The second section, '</w:t>
      </w:r>
      <w:hyperlink w:anchor="Security_of_Tenure" w:history="1">
        <w:r w:rsidRPr="00AC7778">
          <w:rPr>
            <w:rStyle w:val="Hyperlink"/>
            <w:color w:val="auto"/>
            <w:u w:val="none"/>
          </w:rPr>
          <w:t>security of tenure of vulnerable groups</w:t>
        </w:r>
      </w:hyperlink>
      <w:r w:rsidRPr="00AC7778">
        <w:t>', considers whether, and to what extent, certain groups face legal barriers to owning or accessing land and housing. This section focuses on women, minority groups and landless people.</w:t>
      </w:r>
    </w:p>
    <w:p w:rsidR="00FC0D13" w:rsidRDefault="00FC0D13" w:rsidP="00FC0D13">
      <w:pPr>
        <w:pStyle w:val="Bullet2"/>
      </w:pPr>
      <w:r w:rsidRPr="00AC7778">
        <w:t>The third section, '</w:t>
      </w:r>
      <w:hyperlink w:anchor="Eviction_Expropriation_Relocation" w:history="1">
        <w:r w:rsidRPr="00AC7778">
          <w:rPr>
            <w:rStyle w:val="Hyperlink"/>
            <w:color w:val="auto"/>
            <w:u w:val="none"/>
          </w:rPr>
          <w:t>eviction, expropriation and relocation</w:t>
        </w:r>
      </w:hyperlink>
      <w:r w:rsidRPr="00AC7778">
        <w:t xml:space="preserve">', considers </w:t>
      </w:r>
      <w:r>
        <w:t>Solomon Islands' statutory and case law which governs, or is applicable to, forced evictions, compulsory acquisition of land and relocations. This section also considers whether compensation is available in these situations.</w:t>
      </w:r>
    </w:p>
    <w:p w:rsidR="00FC0D13" w:rsidRDefault="00FC0D13" w:rsidP="00FC0D13">
      <w:pPr>
        <w:pStyle w:val="AllensHeading2"/>
      </w:pPr>
      <w:bookmarkStart w:id="42" w:name="_Toc492490187"/>
      <w:bookmarkStart w:id="43" w:name="_Toc513116819"/>
      <w:r>
        <w:t xml:space="preserve">Background information on </w:t>
      </w:r>
      <w:bookmarkEnd w:id="42"/>
      <w:r>
        <w:t>Solomon Islands</w:t>
      </w:r>
      <w:bookmarkEnd w:id="43"/>
    </w:p>
    <w:p w:rsidR="00FC0D13" w:rsidRDefault="00FC0D13" w:rsidP="00FC0D13">
      <w:pPr>
        <w:pStyle w:val="NormalIndent"/>
      </w:pPr>
      <w:r>
        <w:t xml:space="preserve">Solomon Islands </w:t>
      </w:r>
      <w:proofErr w:type="gramStart"/>
      <w:r>
        <w:t>is</w:t>
      </w:r>
      <w:proofErr w:type="gramEnd"/>
      <w:r>
        <w:t xml:space="preserve"> a scattered archipelago of more than 900 mountainous islands and low lying coral atolls.</w:t>
      </w:r>
      <w:r>
        <w:rPr>
          <w:rStyle w:val="FootnoteReference"/>
        </w:rPr>
        <w:footnoteReference w:id="1"/>
      </w:r>
      <w:r>
        <w:t xml:space="preserve"> Of these islands, only 347 are inhabited, the total population being approximately 635,000 people.</w:t>
      </w:r>
      <w:r>
        <w:rPr>
          <w:rStyle w:val="FootnoteReference"/>
        </w:rPr>
        <w:footnoteReference w:id="2"/>
      </w:r>
      <w:r>
        <w:t xml:space="preserve"> The six largest islands are:</w:t>
      </w:r>
      <w:r>
        <w:rPr>
          <w:rStyle w:val="FootnoteReference"/>
        </w:rPr>
        <w:footnoteReference w:id="3"/>
      </w:r>
    </w:p>
    <w:p w:rsidR="00FC0D13" w:rsidRDefault="00FC0D13" w:rsidP="00FC0D13">
      <w:pPr>
        <w:pStyle w:val="level3"/>
      </w:pPr>
      <w:r>
        <w:t>Choiseul;</w:t>
      </w:r>
    </w:p>
    <w:p w:rsidR="00FC0D13" w:rsidRDefault="00FC0D13" w:rsidP="00FC0D13">
      <w:pPr>
        <w:pStyle w:val="level3"/>
      </w:pPr>
      <w:r>
        <w:t>Guadalcanal;</w:t>
      </w:r>
    </w:p>
    <w:p w:rsidR="00FC0D13" w:rsidRDefault="00FC0D13" w:rsidP="00FC0D13">
      <w:pPr>
        <w:pStyle w:val="level3"/>
      </w:pPr>
      <w:proofErr w:type="spellStart"/>
      <w:r>
        <w:t>Malaita</w:t>
      </w:r>
      <w:proofErr w:type="spellEnd"/>
      <w:r>
        <w:t>;</w:t>
      </w:r>
    </w:p>
    <w:p w:rsidR="00FC0D13" w:rsidRDefault="00FC0D13" w:rsidP="00FC0D13">
      <w:pPr>
        <w:pStyle w:val="level3"/>
      </w:pPr>
      <w:r>
        <w:t>New Georgia;</w:t>
      </w:r>
    </w:p>
    <w:p w:rsidR="00FC0D13" w:rsidRDefault="00FC0D13" w:rsidP="00FC0D13">
      <w:pPr>
        <w:pStyle w:val="level3"/>
      </w:pPr>
      <w:r>
        <w:t>San Cristobal; and</w:t>
      </w:r>
    </w:p>
    <w:p w:rsidR="00FC0D13" w:rsidRDefault="00FC0D13" w:rsidP="00FC0D13">
      <w:pPr>
        <w:pStyle w:val="level3"/>
      </w:pPr>
      <w:r>
        <w:lastRenderedPageBreak/>
        <w:t>Santa Isabel.</w:t>
      </w:r>
    </w:p>
    <w:p w:rsidR="00FC0D13" w:rsidRDefault="00FC0D13" w:rsidP="00FC0D13">
      <w:pPr>
        <w:keepNext/>
        <w:spacing w:before="0"/>
        <w:jc w:val="center"/>
      </w:pPr>
      <w:r>
        <w:rPr>
          <w:noProof/>
          <w:lang w:val="es-EC" w:eastAsia="es-EC"/>
        </w:rPr>
        <w:drawing>
          <wp:inline distT="0" distB="0" distL="0" distR="0" wp14:anchorId="7E9AA0E2" wp14:editId="0D1B06D9">
            <wp:extent cx="5254907" cy="2685497"/>
            <wp:effectExtent l="0" t="0" r="317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4498" cy="2685288"/>
                    </a:xfrm>
                    <a:prstGeom prst="rect">
                      <a:avLst/>
                    </a:prstGeom>
                    <a:noFill/>
                    <a:ln>
                      <a:noFill/>
                    </a:ln>
                  </pic:spPr>
                </pic:pic>
              </a:graphicData>
            </a:graphic>
          </wp:inline>
        </w:drawing>
      </w:r>
    </w:p>
    <w:p w:rsidR="00FC0D13" w:rsidRPr="009E4717" w:rsidRDefault="00FC0D13" w:rsidP="00FC0D13">
      <w:pPr>
        <w:ind w:left="720"/>
        <w:jc w:val="center"/>
        <w:rPr>
          <w:rFonts w:eastAsia="Calibri" w:cs="Arial"/>
          <w:color w:val="000000"/>
          <w:lang w:eastAsia="en-US"/>
        </w:rPr>
      </w:pPr>
      <w:r w:rsidRPr="001B6E2A">
        <w:t xml:space="preserve">Figure </w:t>
      </w:r>
      <w:r w:rsidR="00C42C2B">
        <w:fldChar w:fldCharType="begin"/>
      </w:r>
      <w:r w:rsidR="00C42C2B">
        <w:instrText xml:space="preserve"> SEQ Figure \* ARABIC </w:instrText>
      </w:r>
      <w:r w:rsidR="00C42C2B">
        <w:fldChar w:fldCharType="separate"/>
      </w:r>
      <w:r w:rsidR="006F1291">
        <w:rPr>
          <w:noProof/>
        </w:rPr>
        <w:t>1</w:t>
      </w:r>
      <w:r w:rsidR="00C42C2B">
        <w:rPr>
          <w:noProof/>
        </w:rPr>
        <w:fldChar w:fldCharType="end"/>
      </w:r>
      <w:r w:rsidRPr="001B6E2A">
        <w:t xml:space="preserve">: Map of Solomon </w:t>
      </w:r>
      <w:proofErr w:type="gramStart"/>
      <w:r w:rsidRPr="001B6E2A">
        <w:t>Islands</w:t>
      </w:r>
      <w:proofErr w:type="gramEnd"/>
      <w:r>
        <w:br/>
      </w:r>
      <w:r>
        <w:rPr>
          <w:sz w:val="16"/>
          <w:szCs w:val="16"/>
        </w:rPr>
        <w:t>(</w:t>
      </w:r>
      <w:r w:rsidRPr="009E4717">
        <w:rPr>
          <w:rFonts w:eastAsia="Calibri" w:cs="Arial"/>
          <w:color w:val="000000"/>
          <w:lang w:eastAsia="en-US"/>
        </w:rPr>
        <w:t>Map from: Central Intelligence Agency, Solomon Islands &lt;</w:t>
      </w:r>
      <w:r w:rsidRPr="009E4717">
        <w:rPr>
          <w:rFonts w:eastAsia="Calibri" w:cs="Arial"/>
          <w:color w:val="0000FF"/>
          <w:u w:val="single"/>
          <w:lang w:eastAsia="en-US"/>
        </w:rPr>
        <w:t>https://www.cia.gov/library/publications</w:t>
      </w:r>
      <w:r>
        <w:rPr>
          <w:rFonts w:eastAsia="Calibri" w:cs="Arial"/>
          <w:color w:val="0000FF"/>
          <w:u w:val="single"/>
          <w:lang w:eastAsia="en-US"/>
        </w:rPr>
        <w:t>/the-world-factbook/geos/bp.html</w:t>
      </w:r>
      <w:r w:rsidRPr="009E4717">
        <w:rPr>
          <w:rFonts w:eastAsia="Calibri" w:cs="Arial"/>
          <w:color w:val="000000"/>
          <w:lang w:eastAsia="en-US"/>
        </w:rPr>
        <w:t>&gt;</w:t>
      </w:r>
      <w:r>
        <w:rPr>
          <w:sz w:val="16"/>
          <w:szCs w:val="16"/>
        </w:rPr>
        <w:t>)</w:t>
      </w:r>
    </w:p>
    <w:p w:rsidR="00FC0D13" w:rsidRDefault="00FC0D13" w:rsidP="00FC0D13">
      <w:pPr>
        <w:pStyle w:val="NormalIndent"/>
      </w:pPr>
      <w:r>
        <w:t xml:space="preserve">There are 65 vernacular languages and dialects in Solomon Islands, reflecting the variation in tradition and custom which can occur within Melanesian countries. For example, within Solomon Islands, the land system in Guadalcanal is matrilineal, whereas in </w:t>
      </w:r>
      <w:proofErr w:type="spellStart"/>
      <w:r>
        <w:t>Malaita</w:t>
      </w:r>
      <w:proofErr w:type="spellEnd"/>
      <w:r>
        <w:t xml:space="preserve"> and Choiseul it is patrilineal.</w:t>
      </w:r>
      <w:r>
        <w:rPr>
          <w:rStyle w:val="FootnoteReference"/>
        </w:rPr>
        <w:footnoteReference w:id="4"/>
      </w:r>
    </w:p>
    <w:p w:rsidR="00FC0D13" w:rsidRDefault="00FC0D13" w:rsidP="00FC0D13">
      <w:pPr>
        <w:pStyle w:val="NormalIndent"/>
      </w:pPr>
      <w:r>
        <w:t>There are five major geographical categories of land in Solomon Islands:</w:t>
      </w:r>
      <w:r>
        <w:rPr>
          <w:rStyle w:val="FootnoteReference"/>
        </w:rPr>
        <w:footnoteReference w:id="5"/>
      </w:r>
    </w:p>
    <w:p w:rsidR="00FC0D13" w:rsidRDefault="00FC0D13" w:rsidP="00FC0D13">
      <w:pPr>
        <w:pStyle w:val="level3"/>
        <w:numPr>
          <w:ilvl w:val="2"/>
          <w:numId w:val="37"/>
        </w:numPr>
      </w:pPr>
      <w:r>
        <w:t>flat narrow coastal belts;</w:t>
      </w:r>
    </w:p>
    <w:p w:rsidR="00FC0D13" w:rsidRDefault="00FC0D13" w:rsidP="00FC0D13">
      <w:pPr>
        <w:pStyle w:val="level3"/>
      </w:pPr>
      <w:r>
        <w:t>fresh and saltwater swamp lands;</w:t>
      </w:r>
    </w:p>
    <w:p w:rsidR="00FC0D13" w:rsidRDefault="00FC0D13" w:rsidP="00FC0D13">
      <w:pPr>
        <w:pStyle w:val="level3"/>
      </w:pPr>
      <w:r>
        <w:t>dry coastal plains;</w:t>
      </w:r>
    </w:p>
    <w:p w:rsidR="00FC0D13" w:rsidRDefault="00FC0D13" w:rsidP="00FC0D13">
      <w:pPr>
        <w:pStyle w:val="level3"/>
      </w:pPr>
      <w:r>
        <w:t xml:space="preserve">foothills and mountainous ranges (ranges below 3,000 </w:t>
      </w:r>
      <w:proofErr w:type="spellStart"/>
      <w:r>
        <w:t>ft</w:t>
      </w:r>
      <w:proofErr w:type="spellEnd"/>
      <w:r>
        <w:t>); and</w:t>
      </w:r>
    </w:p>
    <w:p w:rsidR="00FC0D13" w:rsidRDefault="00FC0D13" w:rsidP="00FC0D13">
      <w:pPr>
        <w:pStyle w:val="level3"/>
      </w:pPr>
      <w:proofErr w:type="gramStart"/>
      <w:r>
        <w:t>precipitous</w:t>
      </w:r>
      <w:proofErr w:type="gramEnd"/>
      <w:r>
        <w:t xml:space="preserve"> mountains (ranges above 3,000 </w:t>
      </w:r>
      <w:proofErr w:type="spellStart"/>
      <w:r>
        <w:t>ft</w:t>
      </w:r>
      <w:proofErr w:type="spellEnd"/>
      <w:r>
        <w:t>).</w:t>
      </w:r>
    </w:p>
    <w:p w:rsidR="00FC0D13" w:rsidRDefault="00FC0D13" w:rsidP="00FC0D13">
      <w:pPr>
        <w:pStyle w:val="NormalIndent"/>
      </w:pPr>
      <w:r>
        <w:t>Of the land mass, 90% is made up of foothills and mountains covered in rain forests. Approximately 2% of the land is used for permanent crops and pasture and 1% is considered arable.</w:t>
      </w:r>
      <w:r>
        <w:rPr>
          <w:rStyle w:val="FootnoteReference"/>
        </w:rPr>
        <w:footnoteReference w:id="6"/>
      </w:r>
    </w:p>
    <w:p w:rsidR="00FC0D13" w:rsidRDefault="00FC0D13">
      <w:pPr>
        <w:spacing w:before="0" w:after="200" w:line="276" w:lineRule="auto"/>
      </w:pPr>
      <w:r>
        <w:br w:type="page"/>
      </w:r>
    </w:p>
    <w:p w:rsidR="00FC0D13" w:rsidRPr="00BF66CE" w:rsidRDefault="00FC0D13" w:rsidP="00FC0D13">
      <w:pPr>
        <w:pStyle w:val="AllensHeading1"/>
      </w:pPr>
      <w:bookmarkStart w:id="44" w:name="_Toc513116820"/>
      <w:bookmarkStart w:id="45" w:name="Common_Types_of_Tenure"/>
      <w:bookmarkStart w:id="46" w:name="Laws"/>
      <w:r>
        <w:lastRenderedPageBreak/>
        <w:t>Common Types of Land Tenure</w:t>
      </w:r>
      <w:bookmarkEnd w:id="44"/>
    </w:p>
    <w:p w:rsidR="00FC0D13" w:rsidRDefault="00FC0D13" w:rsidP="00FC0D13">
      <w:pPr>
        <w:pStyle w:val="AllensHeading2"/>
      </w:pPr>
      <w:bookmarkStart w:id="47" w:name="_Toc492490189"/>
      <w:bookmarkStart w:id="48" w:name="_Ref494104339"/>
      <w:bookmarkStart w:id="49" w:name="_Toc513116821"/>
      <w:bookmarkStart w:id="50" w:name="Tenure_types"/>
      <w:bookmarkStart w:id="51" w:name="_Ref474849483"/>
      <w:bookmarkEnd w:id="45"/>
      <w:bookmarkEnd w:id="46"/>
      <w:r>
        <w:t>Tenure types</w:t>
      </w:r>
      <w:bookmarkEnd w:id="47"/>
      <w:bookmarkEnd w:id="48"/>
      <w:bookmarkEnd w:id="49"/>
    </w:p>
    <w:bookmarkEnd w:id="50"/>
    <w:p w:rsidR="00FC0D13" w:rsidRPr="000E014F" w:rsidRDefault="00FC0D13" w:rsidP="00FC0D13">
      <w:pPr>
        <w:pStyle w:val="AllensHeading3"/>
        <w:rPr>
          <w:b/>
        </w:rPr>
      </w:pPr>
      <w:r w:rsidRPr="00731F1E">
        <w:rPr>
          <w:b/>
        </w:rPr>
        <w:t>What are the key pieces of legislation governing housing, land, building and planning? Please provide links to copies of the legislation</w:t>
      </w:r>
      <w:r w:rsidRPr="000E014F">
        <w:t>.</w:t>
      </w:r>
    </w:p>
    <w:p w:rsidR="00FC0D13" w:rsidRDefault="00FC0D13" w:rsidP="00FC0D13">
      <w:pPr>
        <w:pStyle w:val="NormalIndent"/>
      </w:pPr>
      <w:r>
        <w:t>The key legislation impacting on land law and tenure in Solomon Islands is the:</w:t>
      </w:r>
    </w:p>
    <w:p w:rsidR="00FC0D13" w:rsidRPr="001C114A" w:rsidRDefault="00C42C2B" w:rsidP="00FC0D13">
      <w:pPr>
        <w:pStyle w:val="level3"/>
        <w:numPr>
          <w:ilvl w:val="2"/>
          <w:numId w:val="36"/>
        </w:numPr>
      </w:pPr>
      <w:hyperlink r:id="rId20" w:history="1">
        <w:r w:rsidR="00FC0D13" w:rsidRPr="00E82ABE">
          <w:rPr>
            <w:rStyle w:val="Hyperlink"/>
            <w:i/>
          </w:rPr>
          <w:t>Constitution of Solomon Islands 1978</w:t>
        </w:r>
      </w:hyperlink>
      <w:r w:rsidR="00FC0D13">
        <w:rPr>
          <w:i/>
        </w:rPr>
        <w:t xml:space="preserve"> </w:t>
      </w:r>
      <w:r w:rsidR="00FC0D13">
        <w:t xml:space="preserve">(the </w:t>
      </w:r>
      <w:r w:rsidR="00FC0D13" w:rsidRPr="007474F0">
        <w:rPr>
          <w:b/>
          <w:i/>
        </w:rPr>
        <w:t>Constitution</w:t>
      </w:r>
      <w:r w:rsidR="00FC0D13">
        <w:t>);</w:t>
      </w:r>
    </w:p>
    <w:p w:rsidR="00FC0D13" w:rsidRPr="001C114A" w:rsidRDefault="00C42C2B" w:rsidP="00FC0D13">
      <w:pPr>
        <w:pStyle w:val="level3"/>
        <w:numPr>
          <w:ilvl w:val="2"/>
          <w:numId w:val="36"/>
        </w:numPr>
      </w:pPr>
      <w:hyperlink r:id="rId21" w:history="1">
        <w:r w:rsidR="00FC0D13" w:rsidRPr="00E82ABE">
          <w:rPr>
            <w:rStyle w:val="Hyperlink"/>
            <w:i/>
          </w:rPr>
          <w:t>Land and Titles Act</w:t>
        </w:r>
      </w:hyperlink>
      <w:r w:rsidR="00FC0D13">
        <w:rPr>
          <w:i/>
        </w:rPr>
        <w:t xml:space="preserve"> </w:t>
      </w:r>
      <w:r w:rsidR="00FC0D13">
        <w:t>(Cap.133); and</w:t>
      </w:r>
    </w:p>
    <w:p w:rsidR="00FC0D13" w:rsidRDefault="00C42C2B" w:rsidP="00FC0D13">
      <w:pPr>
        <w:pStyle w:val="level3"/>
        <w:numPr>
          <w:ilvl w:val="2"/>
          <w:numId w:val="36"/>
        </w:numPr>
      </w:pPr>
      <w:hyperlink r:id="rId22" w:history="1">
        <w:r w:rsidR="00FC0D13" w:rsidRPr="00E82ABE">
          <w:rPr>
            <w:rStyle w:val="Hyperlink"/>
            <w:i/>
          </w:rPr>
          <w:t>Customary Land Records Act</w:t>
        </w:r>
      </w:hyperlink>
      <w:r w:rsidR="00FC0D13">
        <w:rPr>
          <w:i/>
        </w:rPr>
        <w:t xml:space="preserve"> </w:t>
      </w:r>
      <w:r w:rsidR="00FC0D13">
        <w:t>(Cap.132).</w:t>
      </w:r>
    </w:p>
    <w:p w:rsidR="00FC0D13" w:rsidRDefault="00FC0D13" w:rsidP="00FC0D13">
      <w:pPr>
        <w:pStyle w:val="NormalIndent"/>
      </w:pPr>
      <w:r>
        <w:t>Other legislation related to land use and ownership includes the:</w:t>
      </w:r>
    </w:p>
    <w:p w:rsidR="00FC0D13" w:rsidRDefault="00C42C2B" w:rsidP="00FC0D13">
      <w:pPr>
        <w:pStyle w:val="level3"/>
        <w:numPr>
          <w:ilvl w:val="2"/>
          <w:numId w:val="38"/>
        </w:numPr>
        <w:rPr>
          <w:i/>
        </w:rPr>
      </w:pPr>
      <w:hyperlink r:id="rId23" w:history="1">
        <w:r w:rsidR="00FC0D13" w:rsidRPr="00E82ABE">
          <w:rPr>
            <w:rStyle w:val="Hyperlink"/>
            <w:i/>
          </w:rPr>
          <w:t>Forest Resources and Timber Utilisation Act</w:t>
        </w:r>
      </w:hyperlink>
      <w:r w:rsidR="00FC0D13">
        <w:rPr>
          <w:i/>
        </w:rPr>
        <w:t xml:space="preserve"> </w:t>
      </w:r>
      <w:r w:rsidR="00FC0D13">
        <w:t>(Cap.40)</w:t>
      </w:r>
      <w:r w:rsidR="00FC0D13" w:rsidRPr="00CF69B5">
        <w:t>;</w:t>
      </w:r>
    </w:p>
    <w:p w:rsidR="00FC0D13" w:rsidRPr="00CF69B5" w:rsidRDefault="00C42C2B" w:rsidP="00FC0D13">
      <w:pPr>
        <w:pStyle w:val="level3"/>
        <w:numPr>
          <w:ilvl w:val="2"/>
          <w:numId w:val="38"/>
        </w:numPr>
        <w:rPr>
          <w:i/>
        </w:rPr>
      </w:pPr>
      <w:hyperlink r:id="rId24" w:history="1">
        <w:r w:rsidR="00FC0D13" w:rsidRPr="00E82ABE">
          <w:rPr>
            <w:rStyle w:val="Hyperlink"/>
            <w:i/>
          </w:rPr>
          <w:t>Mines and Minerals Act</w:t>
        </w:r>
      </w:hyperlink>
      <w:r w:rsidR="00FC0D13">
        <w:rPr>
          <w:i/>
        </w:rPr>
        <w:t xml:space="preserve"> </w:t>
      </w:r>
      <w:r w:rsidR="00FC0D13">
        <w:t>(Cap.42);</w:t>
      </w:r>
    </w:p>
    <w:p w:rsidR="00FC0D13" w:rsidRDefault="00C42C2B" w:rsidP="00FC0D13">
      <w:pPr>
        <w:pStyle w:val="level3"/>
        <w:numPr>
          <w:ilvl w:val="2"/>
          <w:numId w:val="38"/>
        </w:numPr>
        <w:rPr>
          <w:i/>
        </w:rPr>
      </w:pPr>
      <w:hyperlink r:id="rId25" w:history="1">
        <w:r w:rsidR="00FC0D13" w:rsidRPr="00E82ABE">
          <w:rPr>
            <w:rStyle w:val="Hyperlink"/>
            <w:i/>
          </w:rPr>
          <w:t>River Waters Act</w:t>
        </w:r>
      </w:hyperlink>
      <w:r w:rsidR="00FC0D13">
        <w:rPr>
          <w:i/>
        </w:rPr>
        <w:t xml:space="preserve"> </w:t>
      </w:r>
      <w:r w:rsidR="00FC0D13" w:rsidRPr="00186B3C">
        <w:t>(</w:t>
      </w:r>
      <w:r w:rsidR="00FC0D13">
        <w:t>Cap.135);</w:t>
      </w:r>
    </w:p>
    <w:p w:rsidR="00FC0D13" w:rsidRPr="00CF69B5" w:rsidRDefault="00C42C2B" w:rsidP="00FC0D13">
      <w:pPr>
        <w:pStyle w:val="level3"/>
        <w:numPr>
          <w:ilvl w:val="2"/>
          <w:numId w:val="38"/>
        </w:numPr>
        <w:rPr>
          <w:i/>
        </w:rPr>
      </w:pPr>
      <w:hyperlink r:id="rId26" w:history="1">
        <w:r w:rsidR="00FC0D13" w:rsidRPr="00E82ABE">
          <w:rPr>
            <w:rStyle w:val="Hyperlink"/>
            <w:i/>
          </w:rPr>
          <w:t>Town and Country Planning Act</w:t>
        </w:r>
      </w:hyperlink>
      <w:r w:rsidR="00FC0D13">
        <w:rPr>
          <w:i/>
        </w:rPr>
        <w:t xml:space="preserve"> </w:t>
      </w:r>
      <w:r w:rsidR="00FC0D13">
        <w:t>(Cap.154); and</w:t>
      </w:r>
    </w:p>
    <w:p w:rsidR="00FC0D13" w:rsidRPr="009C4263" w:rsidRDefault="00C42C2B" w:rsidP="00FC0D13">
      <w:pPr>
        <w:pStyle w:val="level3"/>
        <w:numPr>
          <w:ilvl w:val="2"/>
          <w:numId w:val="38"/>
        </w:numPr>
        <w:ind w:left="1440" w:hanging="731"/>
        <w:rPr>
          <w:i/>
        </w:rPr>
      </w:pPr>
      <w:hyperlink r:id="rId27" w:history="1">
        <w:r w:rsidR="00FC0D13" w:rsidRPr="00E82ABE">
          <w:rPr>
            <w:rStyle w:val="Hyperlink"/>
            <w:i/>
          </w:rPr>
          <w:t>Land Surveys Act</w:t>
        </w:r>
      </w:hyperlink>
      <w:r w:rsidR="00FC0D13">
        <w:rPr>
          <w:i/>
        </w:rPr>
        <w:t xml:space="preserve"> </w:t>
      </w:r>
      <w:r w:rsidR="00FC0D13">
        <w:t>(Cap.134)</w:t>
      </w:r>
      <w:r w:rsidR="00FC0D13">
        <w:rPr>
          <w:i/>
        </w:rPr>
        <w:t>.</w:t>
      </w:r>
      <w:r w:rsidR="00FC0D13" w:rsidRPr="00E82ABE">
        <w:rPr>
          <w:rStyle w:val="FootnoteReference"/>
        </w:rPr>
        <w:footnoteReference w:id="7"/>
      </w:r>
    </w:p>
    <w:bookmarkEnd w:id="51"/>
    <w:p w:rsidR="00FC0D13" w:rsidRPr="00C54731" w:rsidRDefault="00FC0D13" w:rsidP="00FC0D13">
      <w:pPr>
        <w:pStyle w:val="AllensHeading3"/>
        <w:rPr>
          <w:b/>
        </w:rPr>
      </w:pPr>
      <w:r w:rsidRPr="00C54731">
        <w:rPr>
          <w:b/>
        </w:rPr>
        <w:t>What types of tenure exist?</w:t>
      </w:r>
    </w:p>
    <w:p w:rsidR="00FC0D13" w:rsidRDefault="00FC0D13" w:rsidP="00FC0D13">
      <w:pPr>
        <w:pStyle w:val="NormalIndent"/>
      </w:pPr>
      <w:r>
        <w:t xml:space="preserve">In Solomon Islands, land is registered and administered in accordance with the </w:t>
      </w:r>
      <w:r w:rsidRPr="00E84C4A">
        <w:rPr>
          <w:i/>
        </w:rPr>
        <w:t>Land and Titles Act</w:t>
      </w:r>
      <w:r>
        <w:t>. This Act sets the framework for interests in land, and defines 'land' as follows:</w:t>
      </w:r>
      <w:r>
        <w:rPr>
          <w:rStyle w:val="FootnoteReference"/>
        </w:rPr>
        <w:footnoteReference w:id="8"/>
      </w:r>
    </w:p>
    <w:p w:rsidR="00FC0D13" w:rsidRDefault="00FC0D13" w:rsidP="00FC0D13">
      <w:pPr>
        <w:pStyle w:val="level3"/>
        <w:numPr>
          <w:ilvl w:val="0"/>
          <w:numId w:val="0"/>
        </w:numPr>
        <w:ind w:left="1418"/>
        <w:rPr>
          <w:sz w:val="18"/>
          <w:szCs w:val="18"/>
        </w:rPr>
      </w:pPr>
      <w:r w:rsidRPr="00BF66CE">
        <w:rPr>
          <w:sz w:val="18"/>
          <w:szCs w:val="18"/>
        </w:rPr>
        <w:t>"</w:t>
      </w:r>
      <w:proofErr w:type="gramStart"/>
      <w:r w:rsidRPr="00BF66CE">
        <w:rPr>
          <w:sz w:val="18"/>
          <w:szCs w:val="18"/>
        </w:rPr>
        <w:t>land</w:t>
      </w:r>
      <w:proofErr w:type="gramEnd"/>
      <w:r w:rsidRPr="00BF66CE">
        <w:rPr>
          <w:sz w:val="18"/>
          <w:szCs w:val="18"/>
        </w:rPr>
        <w:t>" includes land covered by water, all things growing on land and buildings and other things permanently fixed to land but does not include any minerals (including oils and gases) or any substances in or under land which are of a kind ordinarily worked for removal by underground or surface working.</w:t>
      </w:r>
    </w:p>
    <w:p w:rsidR="00FC0D13" w:rsidRDefault="00FC0D13" w:rsidP="00FC0D13">
      <w:pPr>
        <w:pStyle w:val="NormalIndent"/>
        <w:spacing w:after="240"/>
      </w:pPr>
      <w:r>
        <w:t xml:space="preserve">The </w:t>
      </w:r>
      <w:r w:rsidRPr="00A22ED1">
        <w:rPr>
          <w:i/>
        </w:rPr>
        <w:t>Constitution</w:t>
      </w:r>
      <w:r>
        <w:t xml:space="preserve"> draws a distinction between 'customary land' and 'non-customary land' (that is, land that has ceased to be customary and has been registered).</w:t>
      </w:r>
      <w:r>
        <w:rPr>
          <w:rStyle w:val="FootnoteReference"/>
        </w:rPr>
        <w:footnoteReference w:id="9"/>
      </w:r>
      <w:r>
        <w:t xml:space="preserve"> Non-customary land is sometimes referred to as 'alienated land'. </w:t>
      </w:r>
      <w:r w:rsidRPr="007E6F01">
        <w:t>Customary land tenure accounts for the</w:t>
      </w:r>
      <w:r>
        <w:t xml:space="preserve"> majority of landholding in </w:t>
      </w:r>
      <w:r w:rsidRPr="007E6F01">
        <w:t>Solomon Islands</w:t>
      </w:r>
      <w:r>
        <w:t>.</w:t>
      </w:r>
      <w:r>
        <w:rPr>
          <w:rStyle w:val="FootnoteReference"/>
        </w:rPr>
        <w:footnoteReference w:id="10"/>
      </w:r>
      <w:r>
        <w:t xml:space="preserve"> Solomon Islands' land tenure systems are distributed in the table on the following page.</w:t>
      </w:r>
      <w:r>
        <w:rPr>
          <w:rStyle w:val="FootnoteReference"/>
        </w:rPr>
        <w:footnoteReference w:id="11"/>
      </w:r>
    </w:p>
    <w:p w:rsidR="00FC0D13" w:rsidRDefault="00FC0D13">
      <w:pPr>
        <w:spacing w:before="0" w:after="200" w:line="276" w:lineRule="auto"/>
      </w:pPr>
      <w:r>
        <w:br w:type="page"/>
      </w:r>
    </w:p>
    <w:tbl>
      <w:tblPr>
        <w:tblStyle w:val="TableGrid"/>
        <w:tblW w:w="0" w:type="auto"/>
        <w:jc w:val="center"/>
        <w:tblInd w:w="251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2615"/>
        <w:gridCol w:w="2702"/>
      </w:tblGrid>
      <w:tr w:rsidR="00FC0D13" w:rsidTr="00FC0D13">
        <w:trPr>
          <w:jc w:val="center"/>
        </w:trPr>
        <w:tc>
          <w:tcPr>
            <w:tcW w:w="2615" w:type="dxa"/>
            <w:shd w:val="clear" w:color="auto" w:fill="0074BF"/>
          </w:tcPr>
          <w:p w:rsidR="00FC0D13" w:rsidRPr="001861C5" w:rsidRDefault="00FC0D13" w:rsidP="00FC0D13">
            <w:pPr>
              <w:pStyle w:val="NormalIndent"/>
              <w:ind w:left="0"/>
              <w:jc w:val="center"/>
              <w:rPr>
                <w:b/>
                <w:color w:val="FFFFFF" w:themeColor="background1"/>
              </w:rPr>
            </w:pPr>
            <w:r w:rsidRPr="001861C5">
              <w:rPr>
                <w:b/>
                <w:color w:val="FFFFFF" w:themeColor="background1"/>
              </w:rPr>
              <w:lastRenderedPageBreak/>
              <w:t>System of Tenure</w:t>
            </w:r>
          </w:p>
        </w:tc>
        <w:tc>
          <w:tcPr>
            <w:tcW w:w="2702" w:type="dxa"/>
            <w:shd w:val="clear" w:color="auto" w:fill="0074BF"/>
          </w:tcPr>
          <w:p w:rsidR="00FC0D13" w:rsidRPr="001861C5" w:rsidRDefault="00FC0D13" w:rsidP="00FC0D13">
            <w:pPr>
              <w:pStyle w:val="NormalIndent"/>
              <w:ind w:left="0"/>
              <w:jc w:val="center"/>
              <w:rPr>
                <w:b/>
                <w:color w:val="FFFFFF" w:themeColor="background1"/>
              </w:rPr>
            </w:pPr>
            <w:r w:rsidRPr="001861C5">
              <w:rPr>
                <w:b/>
                <w:color w:val="FFFFFF" w:themeColor="background1"/>
              </w:rPr>
              <w:t>Percentage Distribution</w:t>
            </w:r>
          </w:p>
        </w:tc>
      </w:tr>
      <w:tr w:rsidR="00FC0D13" w:rsidTr="00FC0D13">
        <w:trPr>
          <w:jc w:val="center"/>
        </w:trPr>
        <w:tc>
          <w:tcPr>
            <w:tcW w:w="2615" w:type="dxa"/>
            <w:shd w:val="clear" w:color="auto" w:fill="E6EBEE"/>
          </w:tcPr>
          <w:p w:rsidR="00FC0D13" w:rsidRDefault="00FC0D13" w:rsidP="00FC0D13">
            <w:pPr>
              <w:pStyle w:val="NormalIndent"/>
              <w:ind w:left="0"/>
            </w:pPr>
            <w:r>
              <w:t>Customary land</w:t>
            </w:r>
          </w:p>
        </w:tc>
        <w:tc>
          <w:tcPr>
            <w:tcW w:w="2702" w:type="dxa"/>
            <w:shd w:val="clear" w:color="auto" w:fill="E6EBEE"/>
            <w:vAlign w:val="center"/>
          </w:tcPr>
          <w:p w:rsidR="00FC0D13" w:rsidRDefault="00FC0D13" w:rsidP="00FC0D13">
            <w:pPr>
              <w:pStyle w:val="NormalIndent"/>
              <w:ind w:left="0"/>
              <w:jc w:val="center"/>
            </w:pPr>
            <w:r>
              <w:t>87%</w:t>
            </w:r>
          </w:p>
        </w:tc>
      </w:tr>
      <w:tr w:rsidR="00FC0D13" w:rsidTr="00FC0D13">
        <w:trPr>
          <w:jc w:val="center"/>
        </w:trPr>
        <w:tc>
          <w:tcPr>
            <w:tcW w:w="2615" w:type="dxa"/>
            <w:shd w:val="clear" w:color="auto" w:fill="E6EBEE"/>
          </w:tcPr>
          <w:p w:rsidR="00FC0D13" w:rsidRDefault="00FC0D13" w:rsidP="00FC0D13">
            <w:pPr>
              <w:pStyle w:val="NormalIndent"/>
              <w:ind w:left="0"/>
            </w:pPr>
            <w:r>
              <w:t>Public (crown) land</w:t>
            </w:r>
          </w:p>
        </w:tc>
        <w:tc>
          <w:tcPr>
            <w:tcW w:w="2702" w:type="dxa"/>
            <w:shd w:val="clear" w:color="auto" w:fill="E6EBEE"/>
            <w:vAlign w:val="center"/>
          </w:tcPr>
          <w:p w:rsidR="00FC0D13" w:rsidRDefault="00FC0D13" w:rsidP="00FC0D13">
            <w:pPr>
              <w:pStyle w:val="NormalIndent"/>
              <w:ind w:left="0"/>
              <w:jc w:val="center"/>
            </w:pPr>
            <w:r>
              <w:t>8%</w:t>
            </w:r>
          </w:p>
        </w:tc>
      </w:tr>
      <w:tr w:rsidR="00FC0D13" w:rsidTr="00FC0D13">
        <w:trPr>
          <w:jc w:val="center"/>
        </w:trPr>
        <w:tc>
          <w:tcPr>
            <w:tcW w:w="2615" w:type="dxa"/>
            <w:shd w:val="clear" w:color="auto" w:fill="E6EBEE"/>
          </w:tcPr>
          <w:p w:rsidR="00FC0D13" w:rsidRDefault="00FC0D13" w:rsidP="00FC0D13">
            <w:pPr>
              <w:pStyle w:val="NormalIndent"/>
              <w:ind w:left="0"/>
            </w:pPr>
            <w:r>
              <w:t>Perpetual / Fixed-term estates</w:t>
            </w:r>
          </w:p>
        </w:tc>
        <w:tc>
          <w:tcPr>
            <w:tcW w:w="2702" w:type="dxa"/>
            <w:shd w:val="clear" w:color="auto" w:fill="E6EBEE"/>
            <w:vAlign w:val="center"/>
          </w:tcPr>
          <w:p w:rsidR="00FC0D13" w:rsidRDefault="00FC0D13" w:rsidP="00FC0D13">
            <w:pPr>
              <w:pStyle w:val="NormalIndent"/>
              <w:ind w:left="0"/>
              <w:jc w:val="center"/>
            </w:pPr>
            <w:r>
              <w:t>5%</w:t>
            </w:r>
          </w:p>
        </w:tc>
      </w:tr>
    </w:tbl>
    <w:p w:rsidR="00FC0D13" w:rsidRDefault="00FC0D13" w:rsidP="00FC0D13">
      <w:pPr>
        <w:pStyle w:val="NormalIndent"/>
        <w:spacing w:before="0"/>
      </w:pPr>
    </w:p>
    <w:p w:rsidR="00FC0D13" w:rsidRDefault="00FC0D13" w:rsidP="00FC0D13">
      <w:pPr>
        <w:pStyle w:val="NormalIndent"/>
      </w:pPr>
      <w:bookmarkStart w:id="52" w:name="Public_land"/>
      <w:r w:rsidRPr="006D03BA">
        <w:rPr>
          <w:b/>
        </w:rPr>
        <w:t>Public land</w:t>
      </w:r>
      <w:r>
        <w:t xml:space="preserve"> </w:t>
      </w:r>
      <w:bookmarkEnd w:id="52"/>
      <w:r>
        <w:t>is land that is registered as a perpetual estate and owned by the Solomon Islands Government.</w:t>
      </w:r>
      <w:r>
        <w:rPr>
          <w:rStyle w:val="FootnoteReference"/>
        </w:rPr>
        <w:footnoteReference w:id="12"/>
      </w:r>
    </w:p>
    <w:p w:rsidR="00FC0D13" w:rsidRPr="00C17919" w:rsidRDefault="00FC0D13" w:rsidP="00FC0D13">
      <w:pPr>
        <w:pStyle w:val="NormalIndent"/>
      </w:pPr>
      <w:r>
        <w:t xml:space="preserve">The Registrar of Titles maintains a land register for </w:t>
      </w:r>
      <w:r w:rsidRPr="006D03BA">
        <w:rPr>
          <w:b/>
        </w:rPr>
        <w:t>perpetual estates</w:t>
      </w:r>
      <w:r>
        <w:t xml:space="preserve"> (including public land) and a register for </w:t>
      </w:r>
      <w:r w:rsidRPr="006D03BA">
        <w:rPr>
          <w:b/>
        </w:rPr>
        <w:t>fixed-term estates</w:t>
      </w:r>
      <w:r>
        <w:t xml:space="preserve"> and </w:t>
      </w:r>
      <w:r w:rsidRPr="006D03BA">
        <w:rPr>
          <w:b/>
        </w:rPr>
        <w:t>leases.</w:t>
      </w:r>
      <w:r>
        <w:rPr>
          <w:rStyle w:val="FootnoteReference"/>
        </w:rPr>
        <w:footnoteReference w:id="13"/>
      </w:r>
      <w:r>
        <w:t xml:space="preserve"> Temporary tenure in the form of a </w:t>
      </w:r>
      <w:r w:rsidRPr="006D03BA">
        <w:rPr>
          <w:b/>
        </w:rPr>
        <w:t>licence to occupy</w:t>
      </w:r>
      <w:r>
        <w:t xml:space="preserve"> also exists.</w:t>
      </w:r>
    </w:p>
    <w:p w:rsidR="00FC0D13" w:rsidRPr="00E24053" w:rsidRDefault="00FC0D13" w:rsidP="00FC0D13">
      <w:pPr>
        <w:pStyle w:val="NormalIndent"/>
      </w:pPr>
      <w:r>
        <w:t>Being a 'Solomon Islander' is an important concept in Solomon Islands land law. Solomon Islander is defined as a person born in Solomon Islands who has two grand-parents who were members of a group, tribe or line indigenous to Solomon Islands.</w:t>
      </w:r>
      <w:r>
        <w:rPr>
          <w:rStyle w:val="FootnoteReference"/>
        </w:rPr>
        <w:footnoteReference w:id="14"/>
      </w:r>
    </w:p>
    <w:p w:rsidR="00FC0D13" w:rsidRDefault="00FC0D13" w:rsidP="00FC0D13">
      <w:pPr>
        <w:pStyle w:val="NormalIndent"/>
        <w:ind w:left="720"/>
      </w:pPr>
      <w:r>
        <w:t xml:space="preserve">On </w:t>
      </w:r>
      <w:r w:rsidRPr="00700AE6">
        <w:t>31 December 1977</w:t>
      </w:r>
      <w:r>
        <w:t>, legislation</w:t>
      </w:r>
      <w:r w:rsidRPr="00700AE6">
        <w:t xml:space="preserve"> automatically converted all land interests that were vested in a non-Solomon Islander for a period of more than 75 years into fixed interests of 75 years</w:t>
      </w:r>
      <w:r>
        <w:t xml:space="preserve">. This was done in order </w:t>
      </w:r>
      <w:r w:rsidRPr="00700AE6">
        <w:t>to bring the various types of land tenure issued prior to independence into line with the current estate model</w:t>
      </w:r>
      <w:r>
        <w:t>.</w:t>
      </w:r>
    </w:p>
    <w:p w:rsidR="00FC0D13" w:rsidRDefault="00FC0D13" w:rsidP="00FC0D13">
      <w:pPr>
        <w:pStyle w:val="NormalIndent"/>
        <w:ind w:left="720"/>
      </w:pPr>
      <w:r>
        <w:t>The table below summarises the main forms of tenure in the Solomon Islands.</w:t>
      </w:r>
    </w:p>
    <w:tbl>
      <w:tblPr>
        <w:tblStyle w:val="LightShading-Accent1"/>
        <w:tblW w:w="8930" w:type="dxa"/>
        <w:tblInd w:w="817" w:type="dxa"/>
        <w:tblLook w:val="04A0" w:firstRow="1" w:lastRow="0" w:firstColumn="1" w:lastColumn="0" w:noHBand="0" w:noVBand="1"/>
      </w:tblPr>
      <w:tblGrid>
        <w:gridCol w:w="1700"/>
        <w:gridCol w:w="7219"/>
        <w:gridCol w:w="11"/>
      </w:tblGrid>
      <w:tr w:rsidR="00FC0D13" w:rsidRPr="005B55A6" w:rsidTr="00FC0D13">
        <w:trPr>
          <w:gridAfter w:val="1"/>
          <w:cnfStyle w:val="100000000000" w:firstRow="1" w:lastRow="0" w:firstColumn="0" w:lastColumn="0" w:oddVBand="0" w:evenVBand="0" w:oddHBand="0" w:evenHBand="0" w:firstRowFirstColumn="0" w:firstRowLastColumn="0" w:lastRowFirstColumn="0" w:lastRowLastColumn="0"/>
          <w:wAfter w:w="11" w:type="dxa"/>
          <w:tblHeader/>
        </w:trPr>
        <w:tc>
          <w:tcPr>
            <w:cnfStyle w:val="001000000000" w:firstRow="0" w:lastRow="0" w:firstColumn="1" w:lastColumn="0" w:oddVBand="0" w:evenVBand="0" w:oddHBand="0" w:evenHBand="0" w:firstRowFirstColumn="0" w:firstRowLastColumn="0" w:lastRowFirstColumn="0" w:lastRowLastColumn="0"/>
            <w:tcW w:w="1701" w:type="dxa"/>
          </w:tcPr>
          <w:p w:rsidR="00FC0D13" w:rsidRPr="005B55A6" w:rsidRDefault="00FC0D13" w:rsidP="00FC0D13">
            <w:pPr>
              <w:pStyle w:val="NormalIndent"/>
              <w:ind w:left="0"/>
              <w:rPr>
                <w:color w:val="auto"/>
              </w:rPr>
            </w:pPr>
            <w:r w:rsidRPr="005B55A6">
              <w:rPr>
                <w:color w:val="auto"/>
              </w:rPr>
              <w:t>Tenure type</w:t>
            </w:r>
          </w:p>
        </w:tc>
        <w:tc>
          <w:tcPr>
            <w:tcW w:w="7229" w:type="dxa"/>
          </w:tcPr>
          <w:p w:rsidR="00FC0D13" w:rsidRPr="005B55A6" w:rsidRDefault="00FC0D13" w:rsidP="00FC0D13">
            <w:pPr>
              <w:pStyle w:val="NormalIndent"/>
              <w:ind w:left="0"/>
              <w:cnfStyle w:val="100000000000" w:firstRow="1" w:lastRow="0" w:firstColumn="0" w:lastColumn="0" w:oddVBand="0" w:evenVBand="0" w:oddHBand="0" w:evenHBand="0" w:firstRowFirstColumn="0" w:firstRowLastColumn="0" w:lastRowFirstColumn="0" w:lastRowLastColumn="0"/>
              <w:rPr>
                <w:color w:val="auto"/>
              </w:rPr>
            </w:pPr>
            <w:r w:rsidRPr="005B55A6">
              <w:rPr>
                <w:color w:val="auto"/>
              </w:rPr>
              <w:t>Description</w:t>
            </w:r>
          </w:p>
        </w:tc>
      </w:tr>
      <w:tr w:rsidR="00FC0D13" w:rsidRPr="005B55A6" w:rsidTr="00FC0D13">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1701" w:type="dxa"/>
          </w:tcPr>
          <w:p w:rsidR="00FC0D13" w:rsidRPr="005B55A6" w:rsidRDefault="00FC0D13" w:rsidP="00FC0D13">
            <w:pPr>
              <w:pStyle w:val="NormalIndent"/>
              <w:ind w:left="0"/>
              <w:rPr>
                <w:color w:val="auto"/>
              </w:rPr>
            </w:pPr>
            <w:bookmarkStart w:id="53" w:name="Perpetual_Estate"/>
            <w:r w:rsidRPr="005B55A6">
              <w:rPr>
                <w:color w:val="auto"/>
              </w:rPr>
              <w:t>Perpetual Estate</w:t>
            </w:r>
            <w:bookmarkEnd w:id="53"/>
          </w:p>
        </w:tc>
        <w:tc>
          <w:tcPr>
            <w:tcW w:w="7229" w:type="dxa"/>
          </w:tcPr>
          <w:p w:rsidR="00FC0D13" w:rsidRPr="005B55A6" w:rsidRDefault="00FC0D13" w:rsidP="00FC0D13">
            <w:pPr>
              <w:pStyle w:val="NormalIndent"/>
              <w:ind w:left="0"/>
              <w:cnfStyle w:val="000000100000" w:firstRow="0" w:lastRow="0" w:firstColumn="0" w:lastColumn="0" w:oddVBand="0" w:evenVBand="0" w:oddHBand="1" w:evenHBand="0" w:firstRowFirstColumn="0" w:firstRowLastColumn="0" w:lastRowFirstColumn="0" w:lastRowLastColumn="0"/>
              <w:rPr>
                <w:color w:val="auto"/>
              </w:rPr>
            </w:pPr>
            <w:r w:rsidRPr="005B55A6">
              <w:rPr>
                <w:color w:val="auto"/>
              </w:rPr>
              <w:t xml:space="preserve">The right to hold or acquire a perpetual interest in land is recognised by the </w:t>
            </w:r>
            <w:r w:rsidRPr="005B55A6">
              <w:rPr>
                <w:i/>
                <w:color w:val="auto"/>
              </w:rPr>
              <w:t>Constitution</w:t>
            </w:r>
            <w:r w:rsidRPr="005B55A6">
              <w:rPr>
                <w:color w:val="auto"/>
              </w:rPr>
              <w:t>. Ownership of a perpetual interest in land is restricted to:</w:t>
            </w:r>
            <w:r w:rsidRPr="005B55A6">
              <w:rPr>
                <w:rStyle w:val="FootnoteReference"/>
                <w:color w:val="auto"/>
              </w:rPr>
              <w:footnoteReference w:id="15"/>
            </w:r>
          </w:p>
          <w:p w:rsidR="00FC0D13" w:rsidRPr="005B55A6" w:rsidRDefault="00FC0D13" w:rsidP="00FC0D13">
            <w:pPr>
              <w:pStyle w:val="level3"/>
              <w:numPr>
                <w:ilvl w:val="2"/>
                <w:numId w:val="41"/>
              </w:numPr>
              <w:cnfStyle w:val="000000100000" w:firstRow="0" w:lastRow="0" w:firstColumn="0" w:lastColumn="0" w:oddVBand="0" w:evenVBand="0" w:oddHBand="1" w:evenHBand="0" w:firstRowFirstColumn="0" w:firstRowLastColumn="0" w:lastRowFirstColumn="0" w:lastRowLastColumn="0"/>
              <w:rPr>
                <w:color w:val="auto"/>
              </w:rPr>
            </w:pPr>
            <w:r>
              <w:rPr>
                <w:color w:val="auto"/>
              </w:rPr>
              <w:t>a Solomon Islander</w:t>
            </w:r>
            <w:r w:rsidRPr="005B55A6">
              <w:rPr>
                <w:color w:val="auto"/>
              </w:rPr>
              <w:t>; or</w:t>
            </w:r>
          </w:p>
          <w:p w:rsidR="00FC0D13" w:rsidRPr="005B55A6" w:rsidRDefault="00FC0D13" w:rsidP="00FC0D13">
            <w:pPr>
              <w:pStyle w:val="level3"/>
              <w:cnfStyle w:val="000000100000" w:firstRow="0" w:lastRow="0" w:firstColumn="0" w:lastColumn="0" w:oddVBand="0" w:evenVBand="0" w:oddHBand="1" w:evenHBand="0" w:firstRowFirstColumn="0" w:firstRowLastColumn="0" w:lastRowFirstColumn="0" w:lastRowLastColumn="0"/>
              <w:rPr>
                <w:color w:val="auto"/>
              </w:rPr>
            </w:pPr>
            <w:proofErr w:type="gramStart"/>
            <w:r w:rsidRPr="005B55A6">
              <w:rPr>
                <w:color w:val="auto"/>
              </w:rPr>
              <w:t>a</w:t>
            </w:r>
            <w:proofErr w:type="gramEnd"/>
            <w:r w:rsidRPr="005B55A6">
              <w:rPr>
                <w:color w:val="auto"/>
              </w:rPr>
              <w:t xml:space="preserve"> person prescribed by Parliament.</w:t>
            </w:r>
            <w:r w:rsidRPr="005B55A6">
              <w:rPr>
                <w:rStyle w:val="FootnoteReference"/>
                <w:color w:val="auto"/>
              </w:rPr>
              <w:footnoteReference w:id="16"/>
            </w:r>
          </w:p>
          <w:p w:rsidR="00FC0D13" w:rsidRPr="005B55A6" w:rsidRDefault="00FC0D13" w:rsidP="00FC0D13">
            <w:pPr>
              <w:pStyle w:val="NormalIndent"/>
              <w:ind w:left="0"/>
              <w:cnfStyle w:val="000000100000" w:firstRow="0" w:lastRow="0" w:firstColumn="0" w:lastColumn="0" w:oddVBand="0" w:evenVBand="0" w:oddHBand="1" w:evenHBand="0" w:firstRowFirstColumn="0" w:firstRowLastColumn="0" w:lastRowFirstColumn="0" w:lastRowLastColumn="0"/>
              <w:rPr>
                <w:color w:val="auto"/>
              </w:rPr>
            </w:pPr>
            <w:r w:rsidRPr="005B55A6">
              <w:rPr>
                <w:color w:val="auto"/>
              </w:rPr>
              <w:t>A perpetual interest in land confers on its owner the right to occupy, use and enjoy (in perpetuity) the land and its produce, subject to the payment of any rent and the performance of any legally prescribed obligations.</w:t>
            </w:r>
            <w:r w:rsidRPr="005B55A6">
              <w:rPr>
                <w:rStyle w:val="FootnoteReference"/>
                <w:color w:val="auto"/>
              </w:rPr>
              <w:footnoteReference w:id="17"/>
            </w:r>
          </w:p>
        </w:tc>
      </w:tr>
      <w:tr w:rsidR="00FC0D13" w:rsidRPr="005B55A6" w:rsidTr="00FC0D13">
        <w:trPr>
          <w:gridAfter w:val="1"/>
          <w:wAfter w:w="11" w:type="dxa"/>
        </w:trPr>
        <w:tc>
          <w:tcPr>
            <w:cnfStyle w:val="001000000000" w:firstRow="0" w:lastRow="0" w:firstColumn="1" w:lastColumn="0" w:oddVBand="0" w:evenVBand="0" w:oddHBand="0" w:evenHBand="0" w:firstRowFirstColumn="0" w:firstRowLastColumn="0" w:lastRowFirstColumn="0" w:lastRowLastColumn="0"/>
            <w:tcW w:w="1701" w:type="dxa"/>
          </w:tcPr>
          <w:p w:rsidR="00FC0D13" w:rsidRPr="005B55A6" w:rsidRDefault="00FC0D13" w:rsidP="00FC0D13">
            <w:pPr>
              <w:pStyle w:val="NormalIndent"/>
              <w:ind w:left="0"/>
              <w:rPr>
                <w:color w:val="auto"/>
              </w:rPr>
            </w:pPr>
            <w:bookmarkStart w:id="54" w:name="Fixed_Term_Estate"/>
            <w:r w:rsidRPr="005B55A6">
              <w:rPr>
                <w:color w:val="auto"/>
              </w:rPr>
              <w:t>Fixed Term Estate</w:t>
            </w:r>
            <w:bookmarkEnd w:id="54"/>
          </w:p>
        </w:tc>
        <w:tc>
          <w:tcPr>
            <w:tcW w:w="7229" w:type="dxa"/>
          </w:tcPr>
          <w:p w:rsidR="00FC0D13" w:rsidRPr="005B55A6" w:rsidRDefault="00FC0D13" w:rsidP="00FC0D13">
            <w:pPr>
              <w:pStyle w:val="NormalIndent"/>
              <w:ind w:left="0"/>
              <w:cnfStyle w:val="000000000000" w:firstRow="0" w:lastRow="0" w:firstColumn="0" w:lastColumn="0" w:oddVBand="0" w:evenVBand="0" w:oddHBand="0" w:evenHBand="0" w:firstRowFirstColumn="0" w:firstRowLastColumn="0" w:lastRowFirstColumn="0" w:lastRowLastColumn="0"/>
              <w:rPr>
                <w:color w:val="auto"/>
              </w:rPr>
            </w:pPr>
            <w:r w:rsidRPr="005B55A6">
              <w:rPr>
                <w:color w:val="auto"/>
              </w:rPr>
              <w:t>Fixed term estates can be granted in any public land by the Land Board.</w:t>
            </w:r>
            <w:r w:rsidRPr="005B55A6">
              <w:rPr>
                <w:rStyle w:val="FootnoteReference"/>
                <w:color w:val="auto"/>
              </w:rPr>
              <w:footnoteReference w:id="18"/>
            </w:r>
            <w:r w:rsidRPr="005B55A6">
              <w:rPr>
                <w:color w:val="auto"/>
              </w:rPr>
              <w:t xml:space="preserve"> A fixed term interest in land confers on its owner the right to occupy, use and enjoy the land and its produce for a period of time, subject to the payment of any rent and the performance of any legally prescribed obligations.</w:t>
            </w:r>
            <w:r w:rsidRPr="005B55A6">
              <w:rPr>
                <w:rStyle w:val="FootnoteReference"/>
                <w:color w:val="auto"/>
              </w:rPr>
              <w:footnoteReference w:id="19"/>
            </w:r>
          </w:p>
          <w:p w:rsidR="00FC0D13" w:rsidRPr="005B55A6" w:rsidRDefault="00FC0D13" w:rsidP="00FC0D13">
            <w:pPr>
              <w:pStyle w:val="NormalIndent"/>
              <w:ind w:left="0"/>
              <w:cnfStyle w:val="000000000000" w:firstRow="0" w:lastRow="0" w:firstColumn="0" w:lastColumn="0" w:oddVBand="0" w:evenVBand="0" w:oddHBand="0" w:evenHBand="0" w:firstRowFirstColumn="0" w:firstRowLastColumn="0" w:lastRowFirstColumn="0" w:lastRowLastColumn="0"/>
              <w:rPr>
                <w:color w:val="auto"/>
              </w:rPr>
            </w:pPr>
            <w:r w:rsidRPr="005B55A6">
              <w:rPr>
                <w:color w:val="auto"/>
              </w:rPr>
              <w:lastRenderedPageBreak/>
              <w:t>Fixed term estates may be granted to both Solomon Islanders (for a period not exceeding 99 years),</w:t>
            </w:r>
            <w:r w:rsidRPr="005B55A6">
              <w:rPr>
                <w:rStyle w:val="FootnoteReference"/>
                <w:color w:val="auto"/>
              </w:rPr>
              <w:footnoteReference w:id="20"/>
            </w:r>
            <w:r w:rsidRPr="005B55A6">
              <w:rPr>
                <w:color w:val="auto"/>
              </w:rPr>
              <w:t xml:space="preserve"> and non-Solomon Islanders (for a period not exceeding 75 years).</w:t>
            </w:r>
            <w:r w:rsidRPr="005B55A6">
              <w:rPr>
                <w:rStyle w:val="FootnoteReference"/>
                <w:color w:val="auto"/>
              </w:rPr>
              <w:footnoteReference w:id="21"/>
            </w:r>
            <w:r w:rsidRPr="005B55A6">
              <w:rPr>
                <w:color w:val="auto"/>
              </w:rPr>
              <w:t xml:space="preserve"> In practice, fixed term estates are usually granted for a period of 50 years.</w:t>
            </w:r>
            <w:r w:rsidRPr="005B55A6">
              <w:rPr>
                <w:rStyle w:val="FootnoteReference"/>
                <w:color w:val="auto"/>
              </w:rPr>
              <w:footnoteReference w:id="22"/>
            </w:r>
          </w:p>
        </w:tc>
      </w:tr>
      <w:tr w:rsidR="00FC0D13" w:rsidRPr="005B55A6" w:rsidTr="00FC0D13">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1701" w:type="dxa"/>
          </w:tcPr>
          <w:p w:rsidR="00FC0D13" w:rsidRPr="005B55A6" w:rsidRDefault="00FC0D13" w:rsidP="00FC0D13">
            <w:pPr>
              <w:pStyle w:val="NormalIndent"/>
              <w:ind w:left="0"/>
              <w:rPr>
                <w:color w:val="auto"/>
              </w:rPr>
            </w:pPr>
            <w:bookmarkStart w:id="55" w:name="Lease"/>
            <w:r w:rsidRPr="005B55A6">
              <w:rPr>
                <w:color w:val="auto"/>
              </w:rPr>
              <w:lastRenderedPageBreak/>
              <w:t>Lease</w:t>
            </w:r>
            <w:bookmarkEnd w:id="55"/>
          </w:p>
        </w:tc>
        <w:tc>
          <w:tcPr>
            <w:tcW w:w="7229" w:type="dxa"/>
          </w:tcPr>
          <w:p w:rsidR="00FC0D13" w:rsidRPr="005B55A6" w:rsidRDefault="00FC0D13" w:rsidP="00FC0D13">
            <w:pPr>
              <w:pStyle w:val="NormalIndent"/>
              <w:ind w:left="0"/>
              <w:cnfStyle w:val="000000100000" w:firstRow="0" w:lastRow="0" w:firstColumn="0" w:lastColumn="0" w:oddVBand="0" w:evenVBand="0" w:oddHBand="1" w:evenHBand="0" w:firstRowFirstColumn="0" w:firstRowLastColumn="0" w:lastRowFirstColumn="0" w:lastRowLastColumn="0"/>
              <w:rPr>
                <w:color w:val="auto"/>
              </w:rPr>
            </w:pPr>
            <w:r w:rsidRPr="005B55A6">
              <w:rPr>
                <w:color w:val="auto"/>
              </w:rPr>
              <w:t>The owner of a perpetual or fixed-term estate (other than the government) may lease the estate (or part of it) to any person for a definite term.</w:t>
            </w:r>
            <w:r w:rsidRPr="005B55A6">
              <w:rPr>
                <w:rStyle w:val="FootnoteReference"/>
                <w:color w:val="auto"/>
              </w:rPr>
              <w:footnoteReference w:id="23"/>
            </w:r>
          </w:p>
          <w:p w:rsidR="00FC0D13" w:rsidRPr="005B55A6" w:rsidRDefault="00FC0D13" w:rsidP="00FC0D13">
            <w:pPr>
              <w:pStyle w:val="NormalIndent"/>
              <w:ind w:left="0"/>
              <w:cnfStyle w:val="000000100000" w:firstRow="0" w:lastRow="0" w:firstColumn="0" w:lastColumn="0" w:oddVBand="0" w:evenVBand="0" w:oddHBand="1" w:evenHBand="0" w:firstRowFirstColumn="0" w:firstRowLastColumn="0" w:lastRowFirstColumn="0" w:lastRowLastColumn="0"/>
              <w:rPr>
                <w:color w:val="auto"/>
              </w:rPr>
            </w:pPr>
            <w:r w:rsidRPr="005B55A6">
              <w:rPr>
                <w:color w:val="auto"/>
              </w:rPr>
              <w:t>Leases granted to non-Solomon Islanders must be for a period of less than 75 years and must be consented to by the Commissioner of Lands.</w:t>
            </w:r>
            <w:r w:rsidRPr="005B55A6">
              <w:rPr>
                <w:rStyle w:val="FootnoteReference"/>
                <w:color w:val="auto"/>
              </w:rPr>
              <w:footnoteReference w:id="24"/>
            </w:r>
            <w:r w:rsidRPr="005B55A6">
              <w:rPr>
                <w:color w:val="auto"/>
              </w:rPr>
              <w:t xml:space="preserve"> To provide consent, the Commissioner must be satisfied that:</w:t>
            </w:r>
            <w:r w:rsidRPr="005B55A6">
              <w:rPr>
                <w:rStyle w:val="FootnoteReference"/>
                <w:color w:val="auto"/>
              </w:rPr>
              <w:footnoteReference w:id="25"/>
            </w:r>
          </w:p>
          <w:p w:rsidR="00FC0D13" w:rsidRPr="005B55A6" w:rsidRDefault="00FC0D13" w:rsidP="00FC0D13">
            <w:pPr>
              <w:pStyle w:val="level3"/>
              <w:numPr>
                <w:ilvl w:val="0"/>
                <w:numId w:val="0"/>
              </w:numPr>
              <w:ind w:left="720"/>
              <w:cnfStyle w:val="000000100000" w:firstRow="0" w:lastRow="0" w:firstColumn="0" w:lastColumn="0" w:oddVBand="0" w:evenVBand="0" w:oddHBand="1" w:evenHBand="0" w:firstRowFirstColumn="0" w:firstRowLastColumn="0" w:lastRowFirstColumn="0" w:lastRowLastColumn="0"/>
              <w:rPr>
                <w:color w:val="auto"/>
                <w:sz w:val="18"/>
              </w:rPr>
            </w:pPr>
            <w:proofErr w:type="gramStart"/>
            <w:r w:rsidRPr="005B55A6">
              <w:rPr>
                <w:color w:val="auto"/>
                <w:sz w:val="18"/>
              </w:rPr>
              <w:t>the</w:t>
            </w:r>
            <w:proofErr w:type="gramEnd"/>
            <w:r w:rsidRPr="005B55A6">
              <w:rPr>
                <w:color w:val="auto"/>
                <w:sz w:val="18"/>
              </w:rPr>
              <w:t xml:space="preserve"> proposed lessee is of good repute and has the capacity and ability to use and maintain and, where applicable, develop the land in accordance with the development and town and country planning provisions applicable to the land and in a manner consistent with the promotion of the public benefit.</w:t>
            </w:r>
          </w:p>
          <w:p w:rsidR="00FC0D13" w:rsidRPr="005B55A6" w:rsidRDefault="00FC0D13" w:rsidP="00FC0D13">
            <w:pPr>
              <w:pStyle w:val="NormalIndent"/>
              <w:ind w:left="0"/>
              <w:cnfStyle w:val="000000100000" w:firstRow="0" w:lastRow="0" w:firstColumn="0" w:lastColumn="0" w:oddVBand="0" w:evenVBand="0" w:oddHBand="1" w:evenHBand="0" w:firstRowFirstColumn="0" w:firstRowLastColumn="0" w:lastRowFirstColumn="0" w:lastRowLastColumn="0"/>
              <w:rPr>
                <w:color w:val="auto"/>
              </w:rPr>
            </w:pPr>
            <w:r w:rsidRPr="005B55A6">
              <w:rPr>
                <w:color w:val="auto"/>
              </w:rPr>
              <w:t>An estate owner holds their interest in the estate subject to a lease.</w:t>
            </w:r>
            <w:r w:rsidRPr="005B55A6">
              <w:rPr>
                <w:rStyle w:val="FootnoteReference"/>
                <w:color w:val="auto"/>
              </w:rPr>
              <w:footnoteReference w:id="26"/>
            </w:r>
            <w:r w:rsidRPr="005B55A6">
              <w:rPr>
                <w:color w:val="auto"/>
              </w:rPr>
              <w:t xml:space="preserve"> The </w:t>
            </w:r>
            <w:r w:rsidRPr="005B55A6">
              <w:rPr>
                <w:i/>
                <w:color w:val="auto"/>
              </w:rPr>
              <w:t>Land and Titles Act</w:t>
            </w:r>
            <w:r w:rsidRPr="005B55A6">
              <w:rPr>
                <w:color w:val="auto"/>
              </w:rPr>
              <w:t xml:space="preserve"> </w:t>
            </w:r>
            <w:proofErr w:type="gramStart"/>
            <w:r w:rsidRPr="005B55A6">
              <w:rPr>
                <w:color w:val="auto"/>
              </w:rPr>
              <w:t>imposes</w:t>
            </w:r>
            <w:proofErr w:type="gramEnd"/>
            <w:r w:rsidRPr="005B55A6">
              <w:rPr>
                <w:color w:val="auto"/>
              </w:rPr>
              <w:t xml:space="preserve"> various implied terms and obligations on lessees and lessors of land (such as the payment of rent and the requirement to maintain the land and buildings in good repair).</w:t>
            </w:r>
            <w:r w:rsidRPr="005B55A6">
              <w:rPr>
                <w:rStyle w:val="FootnoteReference"/>
                <w:color w:val="auto"/>
              </w:rPr>
              <w:footnoteReference w:id="27"/>
            </w:r>
          </w:p>
        </w:tc>
      </w:tr>
      <w:tr w:rsidR="00FC0D13" w:rsidRPr="005B55A6" w:rsidTr="00FC0D13">
        <w:trPr>
          <w:gridAfter w:val="1"/>
          <w:wAfter w:w="11" w:type="dxa"/>
        </w:trPr>
        <w:tc>
          <w:tcPr>
            <w:cnfStyle w:val="001000000000" w:firstRow="0" w:lastRow="0" w:firstColumn="1" w:lastColumn="0" w:oddVBand="0" w:evenVBand="0" w:oddHBand="0" w:evenHBand="0" w:firstRowFirstColumn="0" w:firstRowLastColumn="0" w:lastRowFirstColumn="0" w:lastRowLastColumn="0"/>
            <w:tcW w:w="1701" w:type="dxa"/>
          </w:tcPr>
          <w:p w:rsidR="00FC0D13" w:rsidRPr="005B55A6" w:rsidRDefault="00FC0D13" w:rsidP="00FC0D13">
            <w:pPr>
              <w:pStyle w:val="NormalIndent"/>
              <w:ind w:left="0"/>
              <w:rPr>
                <w:color w:val="auto"/>
              </w:rPr>
            </w:pPr>
            <w:bookmarkStart w:id="56" w:name="Temporary_Occupation_Licence"/>
            <w:r w:rsidRPr="005B55A6">
              <w:rPr>
                <w:color w:val="auto"/>
              </w:rPr>
              <w:t>Temporary Occupation Licence</w:t>
            </w:r>
            <w:bookmarkEnd w:id="56"/>
          </w:p>
        </w:tc>
        <w:tc>
          <w:tcPr>
            <w:tcW w:w="7229" w:type="dxa"/>
          </w:tcPr>
          <w:p w:rsidR="00FC0D13" w:rsidRPr="005B55A6" w:rsidRDefault="00FC0D13" w:rsidP="00FC0D13">
            <w:pPr>
              <w:pStyle w:val="NormalIndent"/>
              <w:ind w:left="0"/>
              <w:cnfStyle w:val="000000000000" w:firstRow="0" w:lastRow="0" w:firstColumn="0" w:lastColumn="0" w:oddVBand="0" w:evenVBand="0" w:oddHBand="0" w:evenHBand="0" w:firstRowFirstColumn="0" w:firstRowLastColumn="0" w:lastRowFirstColumn="0" w:lastRowLastColumn="0"/>
              <w:rPr>
                <w:color w:val="auto"/>
              </w:rPr>
            </w:pPr>
            <w:r w:rsidRPr="005B55A6">
              <w:rPr>
                <w:color w:val="auto"/>
              </w:rPr>
              <w:t>Temporary occupation licences were introduced in the 1970s in an attempt to control illegal settlement growth within urban centres.</w:t>
            </w:r>
            <w:r w:rsidRPr="005B55A6">
              <w:rPr>
                <w:rStyle w:val="FootnoteReference"/>
                <w:color w:val="auto"/>
              </w:rPr>
              <w:footnoteReference w:id="28"/>
            </w:r>
            <w:r w:rsidRPr="005B55A6">
              <w:rPr>
                <w:color w:val="auto"/>
              </w:rPr>
              <w:t xml:space="preserve"> These licences are issued by the Commissioner when the Commission is of the 'opinion that the temporary occupation and use of any land is required for any public purpose'.</w:t>
            </w:r>
            <w:r w:rsidRPr="005B55A6">
              <w:rPr>
                <w:rStyle w:val="FootnoteReference"/>
                <w:color w:val="auto"/>
              </w:rPr>
              <w:footnoteReference w:id="29"/>
            </w:r>
            <w:r w:rsidRPr="005B55A6">
              <w:rPr>
                <w:color w:val="auto"/>
              </w:rPr>
              <w:t xml:space="preserve"> Licences can be issued for up to three years and require the lawful owner of the land to give up their rights in favour of the temporary occupier. The Commissioner is required to pay rent to the lawful owner of the land for the term of the licence.</w:t>
            </w:r>
            <w:r w:rsidRPr="005B55A6">
              <w:rPr>
                <w:rStyle w:val="FootnoteReference"/>
                <w:color w:val="auto"/>
              </w:rPr>
              <w:footnoteReference w:id="30"/>
            </w:r>
          </w:p>
          <w:p w:rsidR="00FC0D13" w:rsidRPr="005B55A6" w:rsidRDefault="00FC0D13" w:rsidP="00FC0D13">
            <w:pPr>
              <w:pStyle w:val="NormalIndent"/>
              <w:ind w:left="0"/>
              <w:cnfStyle w:val="000000000000" w:firstRow="0" w:lastRow="0" w:firstColumn="0" w:lastColumn="0" w:oddVBand="0" w:evenVBand="0" w:oddHBand="0" w:evenHBand="0" w:firstRowFirstColumn="0" w:firstRowLastColumn="0" w:lastRowFirstColumn="0" w:lastRowLastColumn="0"/>
              <w:rPr>
                <w:color w:val="auto"/>
              </w:rPr>
            </w:pPr>
            <w:r w:rsidRPr="005B55A6">
              <w:rPr>
                <w:color w:val="auto"/>
              </w:rPr>
              <w:t xml:space="preserve">In 2010, the Ministry published a policy intention to convert all temporary occupation licences in the city of Honiara to fixed-term estates with leases of 50 years by 2020. Despite this announcement and the preparation of a draft </w:t>
            </w:r>
            <w:r w:rsidRPr="005B55A6">
              <w:rPr>
                <w:color w:val="auto"/>
              </w:rPr>
              <w:lastRenderedPageBreak/>
              <w:t>work plan, progress has been hampered by a lack of funds and skilled planners.</w:t>
            </w:r>
            <w:r w:rsidRPr="005B55A6">
              <w:rPr>
                <w:rStyle w:val="FootnoteReference"/>
                <w:color w:val="auto"/>
              </w:rPr>
              <w:footnoteReference w:id="31"/>
            </w:r>
            <w:r w:rsidRPr="005B55A6">
              <w:rPr>
                <w:color w:val="auto"/>
              </w:rPr>
              <w:t xml:space="preserve"> The role of temporary occupation licences in informal settlement is explained further in section </w:t>
            </w:r>
            <w:hyperlink w:anchor="Sec_2_4" w:history="1">
              <w:r w:rsidRPr="00AC7778">
                <w:rPr>
                  <w:rStyle w:val="Hyperlink"/>
                </w:rPr>
                <w:fldChar w:fldCharType="begin"/>
              </w:r>
              <w:r w:rsidRPr="00AC7778">
                <w:rPr>
                  <w:rStyle w:val="Hyperlink"/>
                </w:rPr>
                <w:instrText xml:space="preserve"> REF _Ref474358463 \r \h </w:instrText>
              </w:r>
              <w:r w:rsidRPr="00AC7778">
                <w:rPr>
                  <w:rStyle w:val="Hyperlink"/>
                </w:rPr>
              </w:r>
              <w:r w:rsidRPr="00AC7778">
                <w:rPr>
                  <w:rStyle w:val="Hyperlink"/>
                </w:rPr>
                <w:fldChar w:fldCharType="separate"/>
              </w:r>
              <w:r w:rsidR="006F1291">
                <w:rPr>
                  <w:rStyle w:val="Hyperlink"/>
                </w:rPr>
                <w:t>2.4</w:t>
              </w:r>
              <w:r w:rsidRPr="00AC7778">
                <w:rPr>
                  <w:rStyle w:val="Hyperlink"/>
                </w:rPr>
                <w:fldChar w:fldCharType="end"/>
              </w:r>
            </w:hyperlink>
            <w:r w:rsidRPr="005B55A6">
              <w:rPr>
                <w:color w:val="auto"/>
              </w:rPr>
              <w:t xml:space="preserve"> below.</w:t>
            </w:r>
          </w:p>
        </w:tc>
      </w:tr>
      <w:tr w:rsidR="00FC0D13" w:rsidRPr="005B55A6" w:rsidTr="00FC0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FC0D13" w:rsidRPr="005B55A6" w:rsidRDefault="00FC0D13" w:rsidP="00FC0D13">
            <w:pPr>
              <w:pStyle w:val="NormalIndent"/>
              <w:ind w:left="0"/>
              <w:rPr>
                <w:color w:val="auto"/>
              </w:rPr>
            </w:pPr>
            <w:bookmarkStart w:id="57" w:name="Customary_Land"/>
            <w:r>
              <w:rPr>
                <w:color w:val="auto"/>
              </w:rPr>
              <w:lastRenderedPageBreak/>
              <w:t>Customary Land</w:t>
            </w:r>
            <w:bookmarkEnd w:id="57"/>
          </w:p>
        </w:tc>
        <w:tc>
          <w:tcPr>
            <w:tcW w:w="7229" w:type="dxa"/>
            <w:gridSpan w:val="2"/>
          </w:tcPr>
          <w:p w:rsidR="00FC0D13" w:rsidRPr="005B55A6" w:rsidRDefault="00FC0D13" w:rsidP="00203CA4">
            <w:pPr>
              <w:pStyle w:val="NormalIndent"/>
              <w:ind w:left="0"/>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Customary land is all land which is not non-customary land and is discussed in more detail in section </w:t>
            </w:r>
            <w:hyperlink w:anchor="Customary_ownership" w:history="1">
              <w:r w:rsidR="00E67DFD" w:rsidRPr="00A93A78">
                <w:rPr>
                  <w:rStyle w:val="Hyperlink"/>
                </w:rPr>
                <w:fldChar w:fldCharType="begin"/>
              </w:r>
              <w:r w:rsidR="00E67DFD" w:rsidRPr="00A93A78">
                <w:rPr>
                  <w:rStyle w:val="Hyperlink"/>
                </w:rPr>
                <w:instrText xml:space="preserve"> REF _Ref495006358 \r \h </w:instrText>
              </w:r>
              <w:r w:rsidR="00E67DFD" w:rsidRPr="00A93A78">
                <w:rPr>
                  <w:rStyle w:val="Hyperlink"/>
                </w:rPr>
              </w:r>
              <w:r w:rsidR="00E67DFD" w:rsidRPr="00A93A78">
                <w:rPr>
                  <w:rStyle w:val="Hyperlink"/>
                </w:rPr>
                <w:fldChar w:fldCharType="separate"/>
              </w:r>
              <w:r w:rsidR="006F1291">
                <w:rPr>
                  <w:rStyle w:val="Hyperlink"/>
                </w:rPr>
                <w:t>2.3</w:t>
              </w:r>
              <w:r w:rsidR="00E67DFD" w:rsidRPr="00A93A78">
                <w:rPr>
                  <w:rStyle w:val="Hyperlink"/>
                </w:rPr>
                <w:fldChar w:fldCharType="end"/>
              </w:r>
            </w:hyperlink>
            <w:r w:rsidR="00E67DFD">
              <w:rPr>
                <w:color w:val="auto"/>
              </w:rPr>
              <w:t xml:space="preserve"> below.</w:t>
            </w:r>
          </w:p>
        </w:tc>
      </w:tr>
    </w:tbl>
    <w:p w:rsidR="00FC0D13" w:rsidRDefault="00FC0D13" w:rsidP="00FC0D13">
      <w:pPr>
        <w:pStyle w:val="NormalIndent"/>
        <w:ind w:left="720"/>
      </w:pPr>
      <w:r>
        <w:t>Strata title (land tenure that allows for horizontal subdivision of lots or the individual ownership of units in a building or complex) is not currently recognised in Solomon Islands. In 2016 the Ministry published a white paper into strata title, which considered its suitability for Solomon Islands. The paper recommended the introduction of strata title for public land, with the potential for expanding the concept to other registered land at a later date.</w:t>
      </w:r>
      <w:r>
        <w:rPr>
          <w:rStyle w:val="FootnoteReference"/>
        </w:rPr>
        <w:footnoteReference w:id="32"/>
      </w:r>
      <w:r>
        <w:t xml:space="preserve"> In April 2016, the Ministry advised that it hoped that a Strata Titles Bill would be ready for consideration by the National Parliament in early 2017.</w:t>
      </w:r>
      <w:r>
        <w:rPr>
          <w:rStyle w:val="FootnoteReference"/>
        </w:rPr>
        <w:footnoteReference w:id="33"/>
      </w:r>
      <w:r>
        <w:t xml:space="preserve"> At the date of this memorandum, a Bill has been drafted and is due to be considered by the National Parliament in 2017.</w:t>
      </w:r>
      <w:r>
        <w:rPr>
          <w:rStyle w:val="FootnoteReference"/>
        </w:rPr>
        <w:footnoteReference w:id="34"/>
      </w:r>
    </w:p>
    <w:p w:rsidR="00FC0D13" w:rsidRDefault="00FC0D13" w:rsidP="00FC0D13">
      <w:pPr>
        <w:pStyle w:val="NormalIndent"/>
        <w:ind w:left="720"/>
      </w:pPr>
      <w:r w:rsidRPr="00A662B8">
        <w:t>In recent years a few apartment complexes have been constructed in Honiara. The absence of strata or community title legislation in Solomon Islands means that units in such complexes cannot be individually sold, and instead have to be rented out.</w:t>
      </w:r>
      <w:r w:rsidRPr="00A662B8">
        <w:rPr>
          <w:rStyle w:val="FootnoteReference"/>
        </w:rPr>
        <w:footnoteReference w:id="35"/>
      </w:r>
    </w:p>
    <w:p w:rsidR="00FC0D13" w:rsidRPr="00C54731" w:rsidRDefault="00FC0D13" w:rsidP="00FC0D13">
      <w:pPr>
        <w:pStyle w:val="AllensHeading3"/>
        <w:tabs>
          <w:tab w:val="clear" w:pos="1418"/>
          <w:tab w:val="num" w:pos="1429"/>
        </w:tabs>
        <w:ind w:left="1429"/>
        <w:rPr>
          <w:b/>
        </w:rPr>
      </w:pPr>
      <w:bookmarkStart w:id="58" w:name="_Ref472688416"/>
      <w:r w:rsidRPr="00C54731">
        <w:rPr>
          <w:b/>
        </w:rPr>
        <w:t>Which, if any, of these types of tenure provide a high degree of security of tenure?</w:t>
      </w:r>
    </w:p>
    <w:p w:rsidR="00FC0D13" w:rsidRDefault="00FC0D13" w:rsidP="00FC0D13">
      <w:pPr>
        <w:pStyle w:val="NormalIndent"/>
        <w:ind w:left="720"/>
      </w:pPr>
      <w:r>
        <w:t xml:space="preserve">Perpetual estates, fixed term estates and </w:t>
      </w:r>
      <w:proofErr w:type="spellStart"/>
      <w:r>
        <w:t>registerable</w:t>
      </w:r>
      <w:proofErr w:type="spellEnd"/>
      <w:r>
        <w:t xml:space="preserve"> leases provide a high degree of security of tenure that ensures the right to occupancy</w:t>
      </w:r>
      <w:r w:rsidRPr="009538FC">
        <w:t>, use and enjoy</w:t>
      </w:r>
      <w:r>
        <w:t xml:space="preserve">ment of the land. Registration of an estate or lease vests in the owner the rights to the land. These rights are indefeasible except as provided for under the </w:t>
      </w:r>
      <w:r w:rsidRPr="00D235B2">
        <w:rPr>
          <w:i/>
        </w:rPr>
        <w:t>Land and Titles Act</w:t>
      </w:r>
      <w:r>
        <w:t>.</w:t>
      </w:r>
      <w:r>
        <w:rPr>
          <w:rStyle w:val="FootnoteReference"/>
        </w:rPr>
        <w:footnoteReference w:id="36"/>
      </w:r>
    </w:p>
    <w:p w:rsidR="00FC0D13" w:rsidRDefault="00FC0D13" w:rsidP="00FC0D13">
      <w:pPr>
        <w:pStyle w:val="NormalIndent"/>
        <w:ind w:left="720"/>
      </w:pPr>
      <w:r>
        <w:t>Leases shorter than two years also provide strong security of tenure as, even though they do not need to be registered on the land register, they are considered to be an 'overriding interest' that any registered interest is subject to.</w:t>
      </w:r>
      <w:r>
        <w:rPr>
          <w:rStyle w:val="FootnoteReference"/>
        </w:rPr>
        <w:footnoteReference w:id="37"/>
      </w:r>
    </w:p>
    <w:p w:rsidR="00FC0D13" w:rsidRDefault="00FC0D13" w:rsidP="00FC0D13">
      <w:pPr>
        <w:pStyle w:val="NormalIndent"/>
        <w:ind w:left="720"/>
      </w:pPr>
      <w:r>
        <w:t>However, the Commissioner has the right, subject to notice provisions,</w:t>
      </w:r>
      <w:r>
        <w:rPr>
          <w:rStyle w:val="FootnoteReference"/>
        </w:rPr>
        <w:footnoteReference w:id="38"/>
      </w:r>
      <w:r>
        <w:t xml:space="preserve"> to forfeit an owners' estate if the owner fails to pay rent or perform any obligation required in relation to the estate.</w:t>
      </w:r>
      <w:r>
        <w:rPr>
          <w:rStyle w:val="FootnoteReference"/>
        </w:rPr>
        <w:footnoteReference w:id="39"/>
      </w:r>
      <w:r>
        <w:t xml:space="preserve"> In the event of an estate being forfeited, leases on the register are determined (ended).</w:t>
      </w:r>
      <w:r>
        <w:rPr>
          <w:rStyle w:val="FootnoteReference"/>
        </w:rPr>
        <w:footnoteReference w:id="40"/>
      </w:r>
      <w:r>
        <w:t xml:space="preserve"> Owners, lessees and </w:t>
      </w:r>
      <w:proofErr w:type="spellStart"/>
      <w:r>
        <w:t>chargees</w:t>
      </w:r>
      <w:proofErr w:type="spellEnd"/>
      <w:r>
        <w:t xml:space="preserve"> of estates may apply to the High Court for relief against forfeiture.</w:t>
      </w:r>
      <w:r>
        <w:rPr>
          <w:rStyle w:val="FootnoteReference"/>
        </w:rPr>
        <w:footnoteReference w:id="41"/>
      </w:r>
    </w:p>
    <w:p w:rsidR="00FC0D13" w:rsidRDefault="00FC0D13" w:rsidP="00FC0D13">
      <w:pPr>
        <w:pStyle w:val="NormalIndent"/>
        <w:ind w:left="720"/>
      </w:pPr>
      <w:r>
        <w:lastRenderedPageBreak/>
        <w:t>Temporary occupancy licences provide limited security of tenure in part because of their short duration (less than three years) and their historically weak administration.</w:t>
      </w:r>
      <w:r>
        <w:rPr>
          <w:rStyle w:val="FootnoteReference"/>
        </w:rPr>
        <w:footnoteReference w:id="42"/>
      </w:r>
    </w:p>
    <w:p w:rsidR="00FC0D13" w:rsidRDefault="00FC0D13" w:rsidP="00FC0D13">
      <w:pPr>
        <w:pStyle w:val="NormalIndent"/>
        <w:ind w:left="720"/>
      </w:pPr>
      <w:r>
        <w:t xml:space="preserve">Customary land is quite secure in the sense that it is </w:t>
      </w:r>
      <w:proofErr w:type="gramStart"/>
      <w:r>
        <w:t>Constitutionally</w:t>
      </w:r>
      <w:proofErr w:type="gramEnd"/>
      <w:r>
        <w:t xml:space="preserve"> protected and only able to be alienated in certain circumstances. However, because of the lack of recording and registration of customary land, disputes over boundaries between neighbouring tribes and clans are common.</w:t>
      </w:r>
    </w:p>
    <w:p w:rsidR="00FC0D13" w:rsidRPr="00C54731" w:rsidRDefault="00FC0D13" w:rsidP="00FC0D13">
      <w:pPr>
        <w:pStyle w:val="AllensHeading3"/>
        <w:tabs>
          <w:tab w:val="clear" w:pos="1418"/>
          <w:tab w:val="num" w:pos="1440"/>
        </w:tabs>
        <w:ind w:left="1429"/>
        <w:rPr>
          <w:b/>
        </w:rPr>
      </w:pPr>
      <w:r w:rsidRPr="00C54731">
        <w:rPr>
          <w:b/>
        </w:rPr>
        <w:t>How does tenure differ between urban and rural areas? If possible, please provide statistics about the prevalence of each type of tenure in urban and rural areas.</w:t>
      </w:r>
    </w:p>
    <w:p w:rsidR="00FC0D13" w:rsidRDefault="00FC0D13" w:rsidP="00FC0D13">
      <w:pPr>
        <w:pStyle w:val="NormalIndent"/>
        <w:ind w:left="720"/>
      </w:pPr>
      <w:r w:rsidRPr="00A662B8">
        <w:t>Honiara, Solomon Islands</w:t>
      </w:r>
      <w:r>
        <w:t>'</w:t>
      </w:r>
      <w:r w:rsidRPr="00A662B8">
        <w:t xml:space="preserve"> main urban </w:t>
      </w:r>
      <w:proofErr w:type="gramStart"/>
      <w:r w:rsidRPr="00A662B8">
        <w:t>centre,</w:t>
      </w:r>
      <w:proofErr w:type="gramEnd"/>
      <w:r w:rsidRPr="00A662B8">
        <w:t xml:space="preserve"> is built on alienated perpetual or fixed term estate land – that is, no</w:t>
      </w:r>
      <w:r>
        <w:t>n</w:t>
      </w:r>
      <w:r w:rsidRPr="00A662B8">
        <w:t>-customary land.</w:t>
      </w:r>
      <w:r w:rsidRPr="00A662B8">
        <w:rPr>
          <w:rStyle w:val="FootnoteReference"/>
        </w:rPr>
        <w:footnoteReference w:id="43"/>
      </w:r>
      <w:r w:rsidRPr="00A662B8">
        <w:t xml:space="preserve"> Tenure based in customary law predominates</w:t>
      </w:r>
      <w:r>
        <w:t xml:space="preserve"> </w:t>
      </w:r>
      <w:r w:rsidRPr="00A662B8">
        <w:t>outside of the main urban centres.</w:t>
      </w:r>
    </w:p>
    <w:p w:rsidR="00FC0D13" w:rsidRPr="00A662B8" w:rsidRDefault="00FC0D13" w:rsidP="00FC0D13">
      <w:pPr>
        <w:pStyle w:val="NormalIndent"/>
        <w:ind w:left="720"/>
      </w:pPr>
      <w:r>
        <w:t xml:space="preserve">The </w:t>
      </w:r>
      <w:r w:rsidRPr="0053279D">
        <w:rPr>
          <w:i/>
        </w:rPr>
        <w:t>Land and Titles Act</w:t>
      </w:r>
      <w:r>
        <w:t xml:space="preserve"> </w:t>
      </w:r>
      <w:proofErr w:type="gramStart"/>
      <w:r>
        <w:t>provides</w:t>
      </w:r>
      <w:proofErr w:type="gramEnd"/>
      <w:r>
        <w:t xml:space="preserve"> that the Commissioner may designate any area of land as 'town land'.</w:t>
      </w:r>
      <w:r>
        <w:rPr>
          <w:rStyle w:val="FootnoteReference"/>
        </w:rPr>
        <w:footnoteReference w:id="44"/>
      </w:r>
      <w:r>
        <w:t xml:space="preserve"> Such a designation does not impa</w:t>
      </w:r>
      <w:r w:rsidRPr="0068274C">
        <w:t>ct tenure directly but influences how frequently the Commissioner may revise the rent for estates. For estate land designated as 'town land' the Commissioner may revise the rent no more frequently than every seven years.</w:t>
      </w:r>
      <w:r w:rsidRPr="0068274C">
        <w:rPr>
          <w:rStyle w:val="FootnoteReference"/>
        </w:rPr>
        <w:footnoteReference w:id="45"/>
      </w:r>
      <w:r w:rsidRPr="0068274C">
        <w:t xml:space="preserve"> </w:t>
      </w:r>
    </w:p>
    <w:p w:rsidR="00FC0D13" w:rsidRPr="00C54731" w:rsidRDefault="00FC0D13" w:rsidP="00FC0D13">
      <w:pPr>
        <w:pStyle w:val="AllensHeading3"/>
        <w:tabs>
          <w:tab w:val="clear" w:pos="1418"/>
          <w:tab w:val="num" w:pos="1429"/>
        </w:tabs>
        <w:ind w:left="1429"/>
        <w:rPr>
          <w:b/>
        </w:rPr>
      </w:pPr>
      <w:bookmarkStart w:id="59" w:name="Actors"/>
      <w:r w:rsidRPr="00C54731">
        <w:rPr>
          <w:b/>
        </w:rPr>
        <w:t>What are the main government and non-government bodies (</w:t>
      </w:r>
      <w:proofErr w:type="spellStart"/>
      <w:r w:rsidRPr="00C54731">
        <w:rPr>
          <w:b/>
        </w:rPr>
        <w:t>eg</w:t>
      </w:r>
      <w:proofErr w:type="spellEnd"/>
      <w:r w:rsidRPr="00C54731">
        <w:rPr>
          <w:b/>
        </w:rPr>
        <w:t>, representative bodies) which administer or deal with housing, land and property?</w:t>
      </w:r>
    </w:p>
    <w:bookmarkEnd w:id="59"/>
    <w:p w:rsidR="00FC0D13" w:rsidRDefault="00FC0D13" w:rsidP="00FC0D13">
      <w:pPr>
        <w:pStyle w:val="NormalIndent"/>
        <w:ind w:left="720"/>
      </w:pPr>
      <w:r>
        <w:t>The key institution for the administration of land law in Solomon Islands is the Ministry for Lands, Housing and Survey (</w:t>
      </w:r>
      <w:r w:rsidRPr="00B5487B">
        <w:rPr>
          <w:b/>
          <w:i/>
        </w:rPr>
        <w:t>Ministry</w:t>
      </w:r>
      <w:r>
        <w:t>). The Ministry comprises seven divisions, including the:</w:t>
      </w:r>
      <w:r>
        <w:rPr>
          <w:rStyle w:val="FootnoteReference"/>
        </w:rPr>
        <w:footnoteReference w:id="46"/>
      </w:r>
    </w:p>
    <w:p w:rsidR="00FC0D13" w:rsidRDefault="00FC0D13" w:rsidP="00FC0D13">
      <w:pPr>
        <w:pStyle w:val="level3"/>
        <w:numPr>
          <w:ilvl w:val="2"/>
          <w:numId w:val="40"/>
        </w:numPr>
        <w:ind w:left="1429"/>
      </w:pPr>
      <w:r>
        <w:t>Land Administration and Management Group, which is responsible for the core land administration function and processes;</w:t>
      </w:r>
    </w:p>
    <w:p w:rsidR="00FC0D13" w:rsidRDefault="00FC0D13" w:rsidP="00FC0D13">
      <w:pPr>
        <w:pStyle w:val="level3"/>
        <w:numPr>
          <w:ilvl w:val="2"/>
          <w:numId w:val="40"/>
        </w:numPr>
        <w:ind w:left="1429"/>
      </w:pPr>
      <w:r>
        <w:t>Government Housing Division, which has the mandate of managing government housing assets; and</w:t>
      </w:r>
    </w:p>
    <w:p w:rsidR="00FC0D13" w:rsidRDefault="00FC0D13" w:rsidP="00FC0D13">
      <w:pPr>
        <w:pStyle w:val="level3"/>
        <w:numPr>
          <w:ilvl w:val="2"/>
          <w:numId w:val="40"/>
        </w:numPr>
        <w:ind w:left="1429"/>
      </w:pPr>
      <w:r>
        <w:t>Land Reform Division, which provides advice and consultation regarding land reform matters and is responsible for implementing customary land reform programs.</w:t>
      </w:r>
    </w:p>
    <w:p w:rsidR="00FC0D13" w:rsidRDefault="00FC0D13" w:rsidP="00FC0D13">
      <w:pPr>
        <w:pStyle w:val="NormalIndent"/>
        <w:ind w:left="720"/>
      </w:pPr>
      <w:r>
        <w:t>In an effort to increase transparency and improve the efficiency and fairness in the land allocation process, the National Parliament, in 2014, enacted legislation that restructured the Ministry.</w:t>
      </w:r>
      <w:r>
        <w:rPr>
          <w:rStyle w:val="FootnoteReference"/>
        </w:rPr>
        <w:footnoteReference w:id="47"/>
      </w:r>
      <w:r>
        <w:t xml:space="preserve"> A principal effect of this legislation was the establishment of a Land Board.</w:t>
      </w:r>
    </w:p>
    <w:p w:rsidR="00FC0D13" w:rsidRDefault="00FC0D13" w:rsidP="00FC0D13">
      <w:pPr>
        <w:pStyle w:val="NormalIndent"/>
        <w:ind w:left="720"/>
      </w:pPr>
      <w:r>
        <w:t>The Land Board is comprised of 17 members and has the power to make all decisions relating to allocation of interests in registered land in Solomon Islands, including the power to:</w:t>
      </w:r>
      <w:r w:rsidRPr="00BC3E0F">
        <w:rPr>
          <w:rStyle w:val="FootnoteReference"/>
        </w:rPr>
        <w:footnoteReference w:id="48"/>
      </w:r>
    </w:p>
    <w:p w:rsidR="00FC0D13" w:rsidRDefault="00FC0D13" w:rsidP="00FC0D13">
      <w:pPr>
        <w:pStyle w:val="level3"/>
        <w:numPr>
          <w:ilvl w:val="2"/>
          <w:numId w:val="39"/>
        </w:numPr>
        <w:ind w:left="1429"/>
      </w:pPr>
      <w:r w:rsidRPr="00633700">
        <w:t>grant and transfer fixed term estates</w:t>
      </w:r>
      <w:r>
        <w:t>;</w:t>
      </w:r>
    </w:p>
    <w:p w:rsidR="00FC0D13" w:rsidRDefault="00FC0D13" w:rsidP="00FC0D13">
      <w:pPr>
        <w:pStyle w:val="level3"/>
        <w:tabs>
          <w:tab w:val="clear" w:pos="1418"/>
          <w:tab w:val="num" w:pos="1429"/>
        </w:tabs>
        <w:ind w:left="1429"/>
      </w:pPr>
      <w:r w:rsidRPr="00633700">
        <w:t>set land premiums and rentals</w:t>
      </w:r>
      <w:r>
        <w:t>;</w:t>
      </w:r>
    </w:p>
    <w:p w:rsidR="00FC0D13" w:rsidRDefault="00FC0D13" w:rsidP="00FC0D13">
      <w:pPr>
        <w:pStyle w:val="level3"/>
        <w:tabs>
          <w:tab w:val="clear" w:pos="1418"/>
          <w:tab w:val="num" w:pos="1429"/>
        </w:tabs>
        <w:ind w:left="1429"/>
      </w:pPr>
      <w:r w:rsidRPr="00633700">
        <w:lastRenderedPageBreak/>
        <w:t>decide whether to allocate interests in land (including perpetual estates) by direct allocation or by ballot or auction</w:t>
      </w:r>
      <w:r>
        <w:t>; and</w:t>
      </w:r>
    </w:p>
    <w:p w:rsidR="00FC0D13" w:rsidRDefault="00FC0D13" w:rsidP="00FC0D13">
      <w:pPr>
        <w:pStyle w:val="level3"/>
        <w:tabs>
          <w:tab w:val="clear" w:pos="1418"/>
          <w:tab w:val="num" w:pos="1429"/>
        </w:tabs>
        <w:ind w:left="1429"/>
      </w:pPr>
      <w:proofErr w:type="gramStart"/>
      <w:r w:rsidRPr="00633700">
        <w:t>grant</w:t>
      </w:r>
      <w:proofErr w:type="gramEnd"/>
      <w:r w:rsidRPr="00633700">
        <w:t xml:space="preserve"> temporary occupation </w:t>
      </w:r>
      <w:r>
        <w:t>licenc</w:t>
      </w:r>
      <w:r w:rsidRPr="00633700">
        <w:t>es.</w:t>
      </w:r>
    </w:p>
    <w:p w:rsidR="00FC0D13" w:rsidRDefault="00FC0D13" w:rsidP="00FC0D13">
      <w:pPr>
        <w:pStyle w:val="NormalIndent"/>
        <w:ind w:left="720"/>
      </w:pPr>
      <w:r>
        <w:t>The Land Register is maintained by the Registrar of Titles office, which falls under the Ministry of Justice and Legal Affairs.</w:t>
      </w:r>
    </w:p>
    <w:p w:rsidR="00FC0D13" w:rsidRDefault="00FC0D13" w:rsidP="00FC0D13">
      <w:pPr>
        <w:pStyle w:val="NormalIndent"/>
        <w:ind w:left="720"/>
      </w:pPr>
      <w:r>
        <w:t>In a disaster context, the Secretariat of the National Disaster Council, the Solomon Islands National Disaster Management Office chairs the National Disaster Operations Committee (</w:t>
      </w:r>
      <w:r w:rsidRPr="00624CE3">
        <w:rPr>
          <w:b/>
          <w:i/>
        </w:rPr>
        <w:t>N-DOC</w:t>
      </w:r>
      <w:r w:rsidRPr="00624CE3">
        <w:t>)</w:t>
      </w:r>
      <w:r>
        <w:t>.</w:t>
      </w:r>
      <w:r>
        <w:rPr>
          <w:rStyle w:val="FootnoteReference"/>
        </w:rPr>
        <w:footnoteReference w:id="49"/>
      </w:r>
      <w:r>
        <w:t xml:space="preserve"> The N-DOC includes an Infrastructure Committee chaired by the Ministry of Infrastructure Development. This Infrastructure Committee includes a shelter sub-committee.</w:t>
      </w:r>
    </w:p>
    <w:p w:rsidR="00FC0D13" w:rsidRDefault="00FC0D13" w:rsidP="00FC0D13">
      <w:pPr>
        <w:pStyle w:val="AllensHeading2"/>
        <w:tabs>
          <w:tab w:val="clear" w:pos="709"/>
          <w:tab w:val="num" w:pos="720"/>
        </w:tabs>
        <w:ind w:left="720"/>
      </w:pPr>
      <w:bookmarkStart w:id="60" w:name="_Toc513116822"/>
      <w:bookmarkEnd w:id="58"/>
      <w:r>
        <w:t>Documenting Tenure</w:t>
      </w:r>
      <w:bookmarkEnd w:id="60"/>
    </w:p>
    <w:p w:rsidR="00FC0D13" w:rsidRPr="00C54731" w:rsidRDefault="00FC0D13" w:rsidP="00FC0D13">
      <w:pPr>
        <w:pStyle w:val="AllensHeading3"/>
        <w:tabs>
          <w:tab w:val="clear" w:pos="1418"/>
          <w:tab w:val="num" w:pos="1429"/>
        </w:tabs>
        <w:ind w:left="1429"/>
        <w:rPr>
          <w:b/>
        </w:rPr>
      </w:pPr>
      <w:r w:rsidRPr="00C54731">
        <w:rPr>
          <w:b/>
        </w:rPr>
        <w:t>What statutory instruments or legal documents (</w:t>
      </w:r>
      <w:proofErr w:type="spellStart"/>
      <w:r w:rsidRPr="00C54731">
        <w:rPr>
          <w:b/>
        </w:rPr>
        <w:t>eg</w:t>
      </w:r>
      <w:proofErr w:type="spellEnd"/>
      <w:r w:rsidRPr="00C54731">
        <w:rPr>
          <w:b/>
        </w:rPr>
        <w:t>, title deed or leases) are used to create or transfer tenure?</w:t>
      </w:r>
    </w:p>
    <w:p w:rsidR="00FC0D13" w:rsidRPr="00C54731" w:rsidRDefault="00FC0D13" w:rsidP="00FC0D13">
      <w:pPr>
        <w:pStyle w:val="AllensHeading3"/>
        <w:tabs>
          <w:tab w:val="clear" w:pos="1418"/>
          <w:tab w:val="num" w:pos="1429"/>
        </w:tabs>
        <w:ind w:left="1429"/>
        <w:rPr>
          <w:b/>
        </w:rPr>
      </w:pPr>
      <w:r w:rsidRPr="00C54731">
        <w:rPr>
          <w:b/>
        </w:rPr>
        <w:t>What non-legal documents or actions (</w:t>
      </w:r>
      <w:proofErr w:type="spellStart"/>
      <w:r w:rsidRPr="00C54731">
        <w:rPr>
          <w:b/>
        </w:rPr>
        <w:t>eg</w:t>
      </w:r>
      <w:proofErr w:type="spellEnd"/>
      <w:r w:rsidRPr="00C54731">
        <w:rPr>
          <w:b/>
        </w:rPr>
        <w:t>, verbal agreements or handshakes) are used to create or transfer tenure?</w:t>
      </w:r>
    </w:p>
    <w:tbl>
      <w:tblPr>
        <w:tblStyle w:val="LightShading-Accent1"/>
        <w:tblW w:w="8930" w:type="dxa"/>
        <w:tblInd w:w="817" w:type="dxa"/>
        <w:tblLook w:val="04A0" w:firstRow="1" w:lastRow="0" w:firstColumn="1" w:lastColumn="0" w:noHBand="0" w:noVBand="1"/>
      </w:tblPr>
      <w:tblGrid>
        <w:gridCol w:w="1628"/>
        <w:gridCol w:w="7302"/>
      </w:tblGrid>
      <w:tr w:rsidR="00FC0D13" w:rsidRPr="004B661C" w:rsidTr="00FC0D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8" w:type="dxa"/>
          </w:tcPr>
          <w:p w:rsidR="00FC0D13" w:rsidRPr="004B661C" w:rsidRDefault="00FC0D13" w:rsidP="00FC0D13">
            <w:pPr>
              <w:pStyle w:val="NormalIndent"/>
              <w:ind w:left="0"/>
              <w:rPr>
                <w:color w:val="auto"/>
              </w:rPr>
            </w:pPr>
            <w:r w:rsidRPr="004B661C">
              <w:rPr>
                <w:color w:val="auto"/>
              </w:rPr>
              <w:t>Tenure type</w:t>
            </w:r>
          </w:p>
        </w:tc>
        <w:tc>
          <w:tcPr>
            <w:tcW w:w="7302" w:type="dxa"/>
          </w:tcPr>
          <w:p w:rsidR="00FC0D13" w:rsidRPr="004B661C" w:rsidRDefault="00FC0D13" w:rsidP="00FC0D13">
            <w:pPr>
              <w:pStyle w:val="NormalIndent"/>
              <w:ind w:left="0"/>
              <w:cnfStyle w:val="100000000000" w:firstRow="1" w:lastRow="0" w:firstColumn="0" w:lastColumn="0" w:oddVBand="0" w:evenVBand="0" w:oddHBand="0" w:evenHBand="0" w:firstRowFirstColumn="0" w:firstRowLastColumn="0" w:lastRowFirstColumn="0" w:lastRowLastColumn="0"/>
              <w:rPr>
                <w:color w:val="auto"/>
              </w:rPr>
            </w:pPr>
            <w:r w:rsidRPr="004B661C">
              <w:rPr>
                <w:color w:val="auto"/>
              </w:rPr>
              <w:t>Requirements for registration or dealing with tenure</w:t>
            </w:r>
          </w:p>
        </w:tc>
      </w:tr>
      <w:tr w:rsidR="00FC0D13" w:rsidRPr="004B661C" w:rsidTr="00FC0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tcPr>
          <w:p w:rsidR="00FC0D13" w:rsidRPr="004B661C" w:rsidRDefault="00FC0D13" w:rsidP="00FC0D13">
            <w:pPr>
              <w:pStyle w:val="NormalIndent"/>
              <w:ind w:left="0"/>
              <w:rPr>
                <w:color w:val="auto"/>
              </w:rPr>
            </w:pPr>
            <w:r w:rsidRPr="004B661C">
              <w:rPr>
                <w:color w:val="auto"/>
              </w:rPr>
              <w:t>Perpetual Estate</w:t>
            </w:r>
          </w:p>
        </w:tc>
        <w:tc>
          <w:tcPr>
            <w:tcW w:w="7302" w:type="dxa"/>
          </w:tcPr>
          <w:p w:rsidR="00FC0D13" w:rsidRPr="004B661C" w:rsidRDefault="00FC0D13" w:rsidP="00FC0D13">
            <w:pPr>
              <w:pStyle w:val="NormalIndent"/>
              <w:ind w:left="0"/>
              <w:cnfStyle w:val="000000100000" w:firstRow="0" w:lastRow="0" w:firstColumn="0" w:lastColumn="0" w:oddVBand="0" w:evenVBand="0" w:oddHBand="1" w:evenHBand="0" w:firstRowFirstColumn="0" w:firstRowLastColumn="0" w:lastRowFirstColumn="0" w:lastRowLastColumn="0"/>
              <w:rPr>
                <w:color w:val="auto"/>
              </w:rPr>
            </w:pPr>
            <w:r w:rsidRPr="004B661C">
              <w:rPr>
                <w:color w:val="auto"/>
              </w:rPr>
              <w:t xml:space="preserve">Every grant and transfer of a perpetual estate under the </w:t>
            </w:r>
            <w:r w:rsidRPr="004B661C">
              <w:rPr>
                <w:i/>
                <w:color w:val="auto"/>
              </w:rPr>
              <w:t>Land and Titles Act</w:t>
            </w:r>
            <w:r w:rsidRPr="004B661C">
              <w:rPr>
                <w:color w:val="auto"/>
              </w:rPr>
              <w:t xml:space="preserve"> must be registered.</w:t>
            </w:r>
            <w:r w:rsidRPr="004B661C">
              <w:rPr>
                <w:rStyle w:val="FootnoteReference"/>
                <w:color w:val="auto"/>
              </w:rPr>
              <w:footnoteReference w:id="50"/>
            </w:r>
            <w:r w:rsidRPr="004B661C">
              <w:rPr>
                <w:color w:val="auto"/>
              </w:rPr>
              <w:t xml:space="preserve"> Registration is by way of a Torrens style system,</w:t>
            </w:r>
            <w:r w:rsidRPr="004B661C">
              <w:rPr>
                <w:rStyle w:val="FootnoteReference"/>
                <w:color w:val="auto"/>
              </w:rPr>
              <w:footnoteReference w:id="51"/>
            </w:r>
            <w:r w:rsidRPr="004B661C">
              <w:rPr>
                <w:color w:val="auto"/>
              </w:rPr>
              <w:t xml:space="preserve"> where on registration, an owner's rights are not liable to be defeated (except as provided for under the </w:t>
            </w:r>
            <w:r w:rsidRPr="004B661C">
              <w:rPr>
                <w:i/>
                <w:color w:val="auto"/>
              </w:rPr>
              <w:t>Land and Titles Act</w:t>
            </w:r>
            <w:r w:rsidRPr="004B661C">
              <w:rPr>
                <w:color w:val="auto"/>
              </w:rPr>
              <w:t>) and are free from all other interests and claims, except for a lease, charge or other encumbrance shown or referred to on the register or implied by law.</w:t>
            </w:r>
            <w:r w:rsidRPr="004B661C">
              <w:rPr>
                <w:rStyle w:val="FootnoteReference"/>
                <w:color w:val="auto"/>
              </w:rPr>
              <w:footnoteReference w:id="52"/>
            </w:r>
          </w:p>
          <w:p w:rsidR="00FC0D13" w:rsidRPr="004B661C" w:rsidRDefault="00FC0D13" w:rsidP="00FC0D13">
            <w:pPr>
              <w:pStyle w:val="NormalIndent"/>
              <w:ind w:left="0"/>
              <w:cnfStyle w:val="000000100000" w:firstRow="0" w:lastRow="0" w:firstColumn="0" w:lastColumn="0" w:oddVBand="0" w:evenVBand="0" w:oddHBand="1" w:evenHBand="0" w:firstRowFirstColumn="0" w:firstRowLastColumn="0" w:lastRowFirstColumn="0" w:lastRowLastColumn="0"/>
              <w:rPr>
                <w:color w:val="auto"/>
              </w:rPr>
            </w:pPr>
            <w:r w:rsidRPr="004B661C">
              <w:rPr>
                <w:color w:val="auto"/>
              </w:rPr>
              <w:t>Perpetual estate owners may only transfer an interest in land for a term of 75 years or more to a Solomon Islander.</w:t>
            </w:r>
            <w:r w:rsidRPr="004B661C">
              <w:rPr>
                <w:rStyle w:val="FootnoteReference"/>
                <w:color w:val="auto"/>
              </w:rPr>
              <w:footnoteReference w:id="53"/>
            </w:r>
            <w:r w:rsidRPr="004B661C">
              <w:rPr>
                <w:color w:val="auto"/>
              </w:rPr>
              <w:t xml:space="preserve"> An owner can transfer an interest in land to a non-Solomon Islander if the prescribed statutory requirements are met, including:</w:t>
            </w:r>
            <w:r w:rsidRPr="004B661C">
              <w:rPr>
                <w:rStyle w:val="FootnoteReference"/>
                <w:color w:val="auto"/>
              </w:rPr>
              <w:footnoteReference w:id="54"/>
            </w:r>
          </w:p>
          <w:p w:rsidR="00FC0D13" w:rsidRPr="004B661C" w:rsidRDefault="00FC0D13" w:rsidP="00FC0D13">
            <w:pPr>
              <w:pStyle w:val="level3"/>
              <w:numPr>
                <w:ilvl w:val="2"/>
                <w:numId w:val="29"/>
              </w:numPr>
              <w:ind w:left="709"/>
              <w:cnfStyle w:val="000000100000" w:firstRow="0" w:lastRow="0" w:firstColumn="0" w:lastColumn="0" w:oddVBand="0" w:evenVBand="0" w:oddHBand="1" w:evenHBand="0" w:firstRowFirstColumn="0" w:firstRowLastColumn="0" w:lastRowFirstColumn="0" w:lastRowLastColumn="0"/>
              <w:rPr>
                <w:color w:val="auto"/>
              </w:rPr>
            </w:pPr>
            <w:r w:rsidRPr="004B661C">
              <w:rPr>
                <w:color w:val="auto"/>
              </w:rPr>
              <w:t>the term is less than 75 years; and</w:t>
            </w:r>
          </w:p>
          <w:p w:rsidR="00FC0D13" w:rsidRPr="004B661C" w:rsidRDefault="00FC0D13" w:rsidP="00FC0D13">
            <w:pPr>
              <w:pStyle w:val="level3"/>
              <w:ind w:left="709"/>
              <w:cnfStyle w:val="000000100000" w:firstRow="0" w:lastRow="0" w:firstColumn="0" w:lastColumn="0" w:oddVBand="0" w:evenVBand="0" w:oddHBand="1" w:evenHBand="0" w:firstRowFirstColumn="0" w:firstRowLastColumn="0" w:lastRowFirstColumn="0" w:lastRowLastColumn="0"/>
              <w:rPr>
                <w:color w:val="auto"/>
              </w:rPr>
            </w:pPr>
            <w:proofErr w:type="gramStart"/>
            <w:r w:rsidRPr="004B661C">
              <w:rPr>
                <w:color w:val="auto"/>
              </w:rPr>
              <w:t>the</w:t>
            </w:r>
            <w:proofErr w:type="gramEnd"/>
            <w:r w:rsidRPr="004B661C">
              <w:rPr>
                <w:color w:val="auto"/>
              </w:rPr>
              <w:t xml:space="preserve"> owner obtains written consent from the Commissioner of Lands.</w:t>
            </w:r>
          </w:p>
          <w:p w:rsidR="00FC0D13" w:rsidRPr="004B661C" w:rsidRDefault="00FC0D13" w:rsidP="00FC0D13">
            <w:pPr>
              <w:pStyle w:val="NormalIndent"/>
              <w:ind w:left="0"/>
              <w:cnfStyle w:val="000000100000" w:firstRow="0" w:lastRow="0" w:firstColumn="0" w:lastColumn="0" w:oddVBand="0" w:evenVBand="0" w:oddHBand="1" w:evenHBand="0" w:firstRowFirstColumn="0" w:firstRowLastColumn="0" w:lastRowFirstColumn="0" w:lastRowLastColumn="0"/>
              <w:rPr>
                <w:color w:val="auto"/>
              </w:rPr>
            </w:pPr>
            <w:r w:rsidRPr="004B661C">
              <w:rPr>
                <w:color w:val="auto"/>
              </w:rPr>
              <w:t>Public land is managed by the State and can be transferred and sold.</w:t>
            </w:r>
            <w:r w:rsidRPr="004B661C">
              <w:rPr>
                <w:rStyle w:val="FootnoteReference"/>
                <w:color w:val="auto"/>
              </w:rPr>
              <w:footnoteReference w:id="55"/>
            </w:r>
            <w:r w:rsidRPr="004B661C">
              <w:rPr>
                <w:color w:val="auto"/>
              </w:rPr>
              <w:t xml:space="preserve"> An owner may transfer their perpetual estate to any person eligible to hold a perpetual estate.</w:t>
            </w:r>
            <w:r w:rsidRPr="004B661C">
              <w:rPr>
                <w:rStyle w:val="FootnoteReference"/>
                <w:color w:val="auto"/>
              </w:rPr>
              <w:footnoteReference w:id="56"/>
            </w:r>
          </w:p>
        </w:tc>
      </w:tr>
      <w:tr w:rsidR="00FC0D13" w:rsidRPr="004B661C" w:rsidTr="00FC0D13">
        <w:tc>
          <w:tcPr>
            <w:cnfStyle w:val="001000000000" w:firstRow="0" w:lastRow="0" w:firstColumn="1" w:lastColumn="0" w:oddVBand="0" w:evenVBand="0" w:oddHBand="0" w:evenHBand="0" w:firstRowFirstColumn="0" w:firstRowLastColumn="0" w:lastRowFirstColumn="0" w:lastRowLastColumn="0"/>
            <w:tcW w:w="1628" w:type="dxa"/>
          </w:tcPr>
          <w:p w:rsidR="00FC0D13" w:rsidRPr="004B661C" w:rsidRDefault="00FC0D13" w:rsidP="00FC0D13">
            <w:pPr>
              <w:pStyle w:val="NormalIndent"/>
              <w:ind w:left="0"/>
              <w:rPr>
                <w:color w:val="auto"/>
              </w:rPr>
            </w:pPr>
            <w:r w:rsidRPr="004B661C">
              <w:rPr>
                <w:color w:val="auto"/>
              </w:rPr>
              <w:t>Fixed Term Estate</w:t>
            </w:r>
          </w:p>
        </w:tc>
        <w:tc>
          <w:tcPr>
            <w:tcW w:w="7302" w:type="dxa"/>
          </w:tcPr>
          <w:p w:rsidR="00FC0D13" w:rsidRPr="004B661C" w:rsidRDefault="00FC0D13" w:rsidP="00FC0D13">
            <w:pPr>
              <w:pStyle w:val="NormalIndent"/>
              <w:ind w:left="0"/>
              <w:cnfStyle w:val="000000000000" w:firstRow="0" w:lastRow="0" w:firstColumn="0" w:lastColumn="0" w:oddVBand="0" w:evenVBand="0" w:oddHBand="0" w:evenHBand="0" w:firstRowFirstColumn="0" w:firstRowLastColumn="0" w:lastRowFirstColumn="0" w:lastRowLastColumn="0"/>
              <w:rPr>
                <w:color w:val="auto"/>
              </w:rPr>
            </w:pPr>
            <w:r w:rsidRPr="004B661C">
              <w:rPr>
                <w:color w:val="auto"/>
              </w:rPr>
              <w:t xml:space="preserve">Every grant and transfer of a fixed term estate under the </w:t>
            </w:r>
            <w:r w:rsidRPr="004B661C">
              <w:rPr>
                <w:i/>
                <w:color w:val="auto"/>
              </w:rPr>
              <w:t>Land and Titles Act</w:t>
            </w:r>
            <w:r w:rsidRPr="004B661C">
              <w:rPr>
                <w:color w:val="auto"/>
              </w:rPr>
              <w:t xml:space="preserve"> must be registered.</w:t>
            </w:r>
            <w:r w:rsidRPr="004B661C">
              <w:rPr>
                <w:rStyle w:val="FootnoteReference"/>
                <w:color w:val="auto"/>
              </w:rPr>
              <w:footnoteReference w:id="57"/>
            </w:r>
          </w:p>
          <w:p w:rsidR="00FC0D13" w:rsidRPr="004B661C" w:rsidRDefault="00FC0D13" w:rsidP="00FC0D13">
            <w:pPr>
              <w:pStyle w:val="NormalIndent"/>
              <w:ind w:left="0"/>
              <w:cnfStyle w:val="000000000000" w:firstRow="0" w:lastRow="0" w:firstColumn="0" w:lastColumn="0" w:oddVBand="0" w:evenVBand="0" w:oddHBand="0" w:evenHBand="0" w:firstRowFirstColumn="0" w:firstRowLastColumn="0" w:lastRowFirstColumn="0" w:lastRowLastColumn="0"/>
              <w:rPr>
                <w:color w:val="auto"/>
              </w:rPr>
            </w:pPr>
            <w:r w:rsidRPr="004B661C">
              <w:rPr>
                <w:color w:val="auto"/>
              </w:rPr>
              <w:lastRenderedPageBreak/>
              <w:t>Fixed term estates can be transferred subject to the same conditions that apply to perpetual estates.</w:t>
            </w:r>
          </w:p>
        </w:tc>
      </w:tr>
      <w:tr w:rsidR="00FC0D13" w:rsidRPr="004B661C" w:rsidTr="00FC0D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tcPr>
          <w:p w:rsidR="00FC0D13" w:rsidRPr="004B661C" w:rsidRDefault="00FC0D13" w:rsidP="00FC0D13">
            <w:pPr>
              <w:pStyle w:val="NormalIndent"/>
              <w:ind w:left="0"/>
              <w:rPr>
                <w:color w:val="auto"/>
              </w:rPr>
            </w:pPr>
            <w:r w:rsidRPr="004B661C">
              <w:rPr>
                <w:color w:val="auto"/>
              </w:rPr>
              <w:lastRenderedPageBreak/>
              <w:t>Lease</w:t>
            </w:r>
          </w:p>
        </w:tc>
        <w:tc>
          <w:tcPr>
            <w:tcW w:w="7302" w:type="dxa"/>
          </w:tcPr>
          <w:p w:rsidR="00FC0D13" w:rsidRPr="004B661C" w:rsidRDefault="00FC0D13" w:rsidP="00FC0D13">
            <w:pPr>
              <w:pStyle w:val="NormalIndent"/>
              <w:ind w:left="0"/>
              <w:cnfStyle w:val="000000100000" w:firstRow="0" w:lastRow="0" w:firstColumn="0" w:lastColumn="0" w:oddVBand="0" w:evenVBand="0" w:oddHBand="1" w:evenHBand="0" w:firstRowFirstColumn="0" w:firstRowLastColumn="0" w:lastRowFirstColumn="0" w:lastRowLastColumn="0"/>
              <w:rPr>
                <w:color w:val="auto"/>
              </w:rPr>
            </w:pPr>
            <w:r w:rsidRPr="004B661C">
              <w:rPr>
                <w:color w:val="auto"/>
              </w:rPr>
              <w:t>Solomon Islands law provides for three types of lease:</w:t>
            </w:r>
          </w:p>
          <w:p w:rsidR="00FC0D13" w:rsidRPr="004B661C" w:rsidRDefault="00FC0D13" w:rsidP="00FC0D13">
            <w:pPr>
              <w:pStyle w:val="level3"/>
              <w:numPr>
                <w:ilvl w:val="2"/>
                <w:numId w:val="42"/>
              </w:numPr>
              <w:ind w:left="709"/>
              <w:cnfStyle w:val="000000100000" w:firstRow="0" w:lastRow="0" w:firstColumn="0" w:lastColumn="0" w:oddVBand="0" w:evenVBand="0" w:oddHBand="1" w:evenHBand="0" w:firstRowFirstColumn="0" w:firstRowLastColumn="0" w:lastRowFirstColumn="0" w:lastRowLastColumn="0"/>
              <w:rPr>
                <w:color w:val="auto"/>
              </w:rPr>
            </w:pPr>
            <w:r w:rsidRPr="004B661C">
              <w:rPr>
                <w:color w:val="auto"/>
              </w:rPr>
              <w:t>lease for a period greater than two years, which must be in writing and registered on the register;</w:t>
            </w:r>
            <w:r w:rsidRPr="004B661C">
              <w:rPr>
                <w:rStyle w:val="FootnoteReference"/>
                <w:color w:val="auto"/>
              </w:rPr>
              <w:footnoteReference w:id="58"/>
            </w:r>
          </w:p>
          <w:p w:rsidR="00FC0D13" w:rsidRPr="004B661C" w:rsidRDefault="00FC0D13" w:rsidP="00FC0D13">
            <w:pPr>
              <w:pStyle w:val="level3"/>
              <w:numPr>
                <w:ilvl w:val="2"/>
                <w:numId w:val="42"/>
              </w:numPr>
              <w:ind w:left="709"/>
              <w:cnfStyle w:val="000000100000" w:firstRow="0" w:lastRow="0" w:firstColumn="0" w:lastColumn="0" w:oddVBand="0" w:evenVBand="0" w:oddHBand="1" w:evenHBand="0" w:firstRowFirstColumn="0" w:firstRowLastColumn="0" w:lastRowFirstColumn="0" w:lastRowLastColumn="0"/>
              <w:rPr>
                <w:color w:val="auto"/>
              </w:rPr>
            </w:pPr>
            <w:r w:rsidRPr="004B661C">
              <w:rPr>
                <w:color w:val="auto"/>
              </w:rPr>
              <w:t>lease for a period less than two years; and</w:t>
            </w:r>
          </w:p>
          <w:p w:rsidR="00FC0D13" w:rsidRPr="004B661C" w:rsidRDefault="00FC0D13" w:rsidP="00FC0D13">
            <w:pPr>
              <w:pStyle w:val="level3"/>
              <w:numPr>
                <w:ilvl w:val="2"/>
                <w:numId w:val="42"/>
              </w:numPr>
              <w:ind w:left="709"/>
              <w:cnfStyle w:val="000000100000" w:firstRow="0" w:lastRow="0" w:firstColumn="0" w:lastColumn="0" w:oddVBand="0" w:evenVBand="0" w:oddHBand="1" w:evenHBand="0" w:firstRowFirstColumn="0" w:firstRowLastColumn="0" w:lastRowFirstColumn="0" w:lastRowLastColumn="0"/>
              <w:rPr>
                <w:color w:val="auto"/>
              </w:rPr>
            </w:pPr>
            <w:proofErr w:type="gramStart"/>
            <w:r w:rsidRPr="004B661C">
              <w:rPr>
                <w:color w:val="auto"/>
              </w:rPr>
              <w:t>lease</w:t>
            </w:r>
            <w:proofErr w:type="gramEnd"/>
            <w:r w:rsidRPr="004B661C">
              <w:rPr>
                <w:color w:val="auto"/>
              </w:rPr>
              <w:t xml:space="preserve"> with no specified term or that are not in writing (periodic tenancy).</w:t>
            </w:r>
            <w:r w:rsidRPr="004B661C">
              <w:rPr>
                <w:rStyle w:val="FootnoteReference"/>
                <w:color w:val="auto"/>
              </w:rPr>
              <w:footnoteReference w:id="59"/>
            </w:r>
          </w:p>
          <w:p w:rsidR="00FC0D13" w:rsidRPr="004B661C" w:rsidRDefault="00FC0D13" w:rsidP="00FC0D13">
            <w:pPr>
              <w:pStyle w:val="NormalIndent"/>
              <w:ind w:left="0"/>
              <w:cnfStyle w:val="000000100000" w:firstRow="0" w:lastRow="0" w:firstColumn="0" w:lastColumn="0" w:oddVBand="0" w:evenVBand="0" w:oddHBand="1" w:evenHBand="0" w:firstRowFirstColumn="0" w:firstRowLastColumn="0" w:lastRowFirstColumn="0" w:lastRowLastColumn="0"/>
              <w:rPr>
                <w:color w:val="auto"/>
              </w:rPr>
            </w:pPr>
            <w:r w:rsidRPr="004B661C">
              <w:rPr>
                <w:color w:val="auto"/>
              </w:rPr>
              <w:t>Leases of less than two years duration, and periodic tenancies, are not capable of registration.</w:t>
            </w:r>
            <w:r w:rsidRPr="004B661C">
              <w:rPr>
                <w:rStyle w:val="FootnoteReference"/>
                <w:color w:val="auto"/>
              </w:rPr>
              <w:footnoteReference w:id="60"/>
            </w:r>
            <w:r w:rsidRPr="004B661C">
              <w:rPr>
                <w:color w:val="auto"/>
              </w:rPr>
              <w:t xml:space="preserve"> Nevertheless, both are deemed to be an 'overriding interest' of the owner of an estate.</w:t>
            </w:r>
            <w:r w:rsidRPr="004B661C">
              <w:rPr>
                <w:rStyle w:val="FootnoteReference"/>
                <w:color w:val="auto"/>
              </w:rPr>
              <w:footnoteReference w:id="61"/>
            </w:r>
          </w:p>
          <w:p w:rsidR="00FC0D13" w:rsidRPr="004B661C" w:rsidRDefault="00FC0D13" w:rsidP="00FC0D13">
            <w:pPr>
              <w:pStyle w:val="NormalIndent"/>
              <w:ind w:left="0"/>
              <w:cnfStyle w:val="000000100000" w:firstRow="0" w:lastRow="0" w:firstColumn="0" w:lastColumn="0" w:oddVBand="0" w:evenVBand="0" w:oddHBand="1" w:evenHBand="0" w:firstRowFirstColumn="0" w:firstRowLastColumn="0" w:lastRowFirstColumn="0" w:lastRowLastColumn="0"/>
              <w:rPr>
                <w:color w:val="auto"/>
              </w:rPr>
            </w:pPr>
            <w:r w:rsidRPr="004B661C">
              <w:rPr>
                <w:color w:val="auto"/>
              </w:rPr>
              <w:t>The period of a periodic tenancy is determined by reference to the period for which rent is payable. The tenancy may be terminated by either party giving notice to the other, the length of which must be not less than the period of the tenancy.</w:t>
            </w:r>
            <w:r w:rsidRPr="004B661C">
              <w:rPr>
                <w:rStyle w:val="FootnoteReference"/>
                <w:color w:val="auto"/>
              </w:rPr>
              <w:footnoteReference w:id="62"/>
            </w:r>
          </w:p>
          <w:p w:rsidR="00FC0D13" w:rsidRPr="004B661C" w:rsidRDefault="00FC0D13" w:rsidP="00FC0D13">
            <w:pPr>
              <w:pStyle w:val="NormalIndent"/>
              <w:ind w:left="0"/>
              <w:cnfStyle w:val="000000100000" w:firstRow="0" w:lastRow="0" w:firstColumn="0" w:lastColumn="0" w:oddVBand="0" w:evenVBand="0" w:oddHBand="1" w:evenHBand="0" w:firstRowFirstColumn="0" w:firstRowLastColumn="0" w:lastRowFirstColumn="0" w:lastRowLastColumn="0"/>
              <w:rPr>
                <w:color w:val="auto"/>
              </w:rPr>
            </w:pPr>
            <w:r w:rsidRPr="004B661C">
              <w:rPr>
                <w:color w:val="auto"/>
              </w:rPr>
              <w:t>Subject to the terms of the lease, the owner of a registered lease may:</w:t>
            </w:r>
          </w:p>
          <w:p w:rsidR="00FC0D13" w:rsidRPr="004B661C" w:rsidRDefault="00FC0D13" w:rsidP="00FC0D13">
            <w:pPr>
              <w:pStyle w:val="level3"/>
              <w:numPr>
                <w:ilvl w:val="2"/>
                <w:numId w:val="46"/>
              </w:numPr>
              <w:tabs>
                <w:tab w:val="clear" w:pos="1418"/>
                <w:tab w:val="num" w:pos="674"/>
              </w:tabs>
              <w:ind w:left="674" w:hanging="674"/>
              <w:cnfStyle w:val="000000100000" w:firstRow="0" w:lastRow="0" w:firstColumn="0" w:lastColumn="0" w:oddVBand="0" w:evenVBand="0" w:oddHBand="1" w:evenHBand="0" w:firstRowFirstColumn="0" w:firstRowLastColumn="0" w:lastRowFirstColumn="0" w:lastRowLastColumn="0"/>
              <w:rPr>
                <w:color w:val="auto"/>
              </w:rPr>
            </w:pPr>
            <w:r w:rsidRPr="004B661C">
              <w:rPr>
                <w:color w:val="auto"/>
              </w:rPr>
              <w:t>sublease the lease for any period which is less than the remainder period of the lease;</w:t>
            </w:r>
            <w:r w:rsidRPr="004B661C">
              <w:rPr>
                <w:rStyle w:val="FootnoteReference"/>
                <w:color w:val="auto"/>
              </w:rPr>
              <w:footnoteReference w:id="63"/>
            </w:r>
            <w:r w:rsidRPr="004B661C">
              <w:rPr>
                <w:color w:val="auto"/>
              </w:rPr>
              <w:t xml:space="preserve"> and</w:t>
            </w:r>
          </w:p>
          <w:p w:rsidR="00FC0D13" w:rsidRPr="004B661C" w:rsidRDefault="00FC0D13" w:rsidP="00FC0D13">
            <w:pPr>
              <w:pStyle w:val="level3"/>
              <w:numPr>
                <w:ilvl w:val="2"/>
                <w:numId w:val="42"/>
              </w:numPr>
              <w:ind w:left="709"/>
              <w:cnfStyle w:val="000000100000" w:firstRow="0" w:lastRow="0" w:firstColumn="0" w:lastColumn="0" w:oddVBand="0" w:evenVBand="0" w:oddHBand="1" w:evenHBand="0" w:firstRowFirstColumn="0" w:firstRowLastColumn="0" w:lastRowFirstColumn="0" w:lastRowLastColumn="0"/>
              <w:rPr>
                <w:color w:val="auto"/>
              </w:rPr>
            </w:pPr>
            <w:proofErr w:type="gramStart"/>
            <w:r w:rsidRPr="004B661C">
              <w:rPr>
                <w:color w:val="auto"/>
              </w:rPr>
              <w:t>transfer</w:t>
            </w:r>
            <w:proofErr w:type="gramEnd"/>
            <w:r w:rsidRPr="004B661C">
              <w:rPr>
                <w:color w:val="auto"/>
              </w:rPr>
              <w:t xml:space="preserve"> the lease.</w:t>
            </w:r>
            <w:r w:rsidRPr="004B661C">
              <w:rPr>
                <w:rStyle w:val="FootnoteReference"/>
                <w:color w:val="auto"/>
              </w:rPr>
              <w:footnoteReference w:id="64"/>
            </w:r>
          </w:p>
        </w:tc>
      </w:tr>
    </w:tbl>
    <w:p w:rsidR="00FC0D13" w:rsidRDefault="00FC0D13" w:rsidP="00FC0D13">
      <w:pPr>
        <w:pStyle w:val="AllensHeading2"/>
        <w:tabs>
          <w:tab w:val="clear" w:pos="709"/>
          <w:tab w:val="num" w:pos="731"/>
        </w:tabs>
        <w:ind w:left="720"/>
      </w:pPr>
      <w:bookmarkStart w:id="61" w:name="_Ref495006358"/>
      <w:bookmarkStart w:id="62" w:name="Customary_ownership"/>
      <w:bookmarkStart w:id="63" w:name="_Toc513116823"/>
      <w:r>
        <w:t>Customary ownership</w:t>
      </w:r>
      <w:bookmarkEnd w:id="61"/>
      <w:bookmarkEnd w:id="62"/>
      <w:bookmarkEnd w:id="63"/>
    </w:p>
    <w:p w:rsidR="00FC0D13" w:rsidRPr="00C54731" w:rsidRDefault="00FC0D13" w:rsidP="00FC0D13">
      <w:pPr>
        <w:pStyle w:val="AllensHeading3"/>
        <w:tabs>
          <w:tab w:val="clear" w:pos="1418"/>
          <w:tab w:val="num" w:pos="1440"/>
        </w:tabs>
        <w:ind w:left="1429"/>
        <w:rPr>
          <w:rFonts w:eastAsiaTheme="minorHAnsi"/>
          <w:b/>
          <w:lang w:eastAsia="en-US"/>
        </w:rPr>
      </w:pPr>
      <w:r w:rsidRPr="00C54731">
        <w:rPr>
          <w:b/>
          <w:lang w:val="en-US"/>
        </w:rPr>
        <w:t xml:space="preserve">Is customary ownership of land legally </w:t>
      </w:r>
      <w:proofErr w:type="spellStart"/>
      <w:r w:rsidRPr="00C54731">
        <w:rPr>
          <w:b/>
          <w:lang w:val="en-US"/>
        </w:rPr>
        <w:t>recognised</w:t>
      </w:r>
      <w:proofErr w:type="spellEnd"/>
      <w:r w:rsidRPr="00C54731">
        <w:rPr>
          <w:b/>
          <w:lang w:val="en-US"/>
        </w:rPr>
        <w:t>? If so, what is the basis for legal recognition?</w:t>
      </w:r>
    </w:p>
    <w:p w:rsidR="00FC0D13" w:rsidRPr="00C54731" w:rsidRDefault="00FC0D13" w:rsidP="00FC0D13">
      <w:pPr>
        <w:pStyle w:val="AllensHeading3"/>
        <w:tabs>
          <w:tab w:val="clear" w:pos="1418"/>
          <w:tab w:val="num" w:pos="1440"/>
        </w:tabs>
        <w:ind w:left="1429"/>
        <w:rPr>
          <w:rFonts w:eastAsiaTheme="minorHAnsi"/>
          <w:b/>
          <w:lang w:eastAsia="en-US"/>
        </w:rPr>
      </w:pPr>
      <w:r w:rsidRPr="00C54731">
        <w:rPr>
          <w:rFonts w:eastAsiaTheme="minorHAnsi"/>
          <w:b/>
          <w:lang w:val="en-US" w:eastAsia="en-US"/>
        </w:rPr>
        <w:t>What are the sources of customary rules?</w:t>
      </w:r>
    </w:p>
    <w:p w:rsidR="00FC0D13" w:rsidRDefault="00FC0D13" w:rsidP="00FC0D13">
      <w:pPr>
        <w:pStyle w:val="NormalIndent"/>
        <w:ind w:left="720"/>
      </w:pPr>
      <w:r>
        <w:t xml:space="preserve">Customary land ownership is expressly recognised by the </w:t>
      </w:r>
      <w:r w:rsidRPr="0047243C">
        <w:rPr>
          <w:i/>
        </w:rPr>
        <w:t>Constitution</w:t>
      </w:r>
      <w:r>
        <w:t>.</w:t>
      </w:r>
      <w:r>
        <w:rPr>
          <w:rStyle w:val="FootnoteReference"/>
        </w:rPr>
        <w:footnoteReference w:id="65"/>
      </w:r>
      <w:r>
        <w:t xml:space="preserve"> The principal legislation dealing with customary land is the:</w:t>
      </w:r>
    </w:p>
    <w:p w:rsidR="00FC0D13" w:rsidRDefault="00FC0D13" w:rsidP="00FC0D13">
      <w:pPr>
        <w:pStyle w:val="level3"/>
        <w:numPr>
          <w:ilvl w:val="2"/>
          <w:numId w:val="30"/>
        </w:numPr>
        <w:ind w:left="1429"/>
      </w:pPr>
      <w:r w:rsidRPr="00D24D5F">
        <w:rPr>
          <w:i/>
        </w:rPr>
        <w:t>Land and Titles Act</w:t>
      </w:r>
      <w:r>
        <w:t>; and</w:t>
      </w:r>
    </w:p>
    <w:p w:rsidR="00FC0D13" w:rsidRDefault="00FC0D13" w:rsidP="00FC0D13">
      <w:pPr>
        <w:pStyle w:val="level3"/>
        <w:tabs>
          <w:tab w:val="clear" w:pos="1418"/>
          <w:tab w:val="num" w:pos="1440"/>
        </w:tabs>
        <w:ind w:left="1429"/>
      </w:pPr>
      <w:r w:rsidRPr="00D24D5F">
        <w:rPr>
          <w:i/>
        </w:rPr>
        <w:t>Customary Land Records Act</w:t>
      </w:r>
      <w:r>
        <w:t>.</w:t>
      </w:r>
    </w:p>
    <w:p w:rsidR="00FC0D13" w:rsidRDefault="00FC0D13" w:rsidP="00FC0D13">
      <w:pPr>
        <w:ind w:left="720"/>
        <w:jc w:val="both"/>
      </w:pPr>
      <w:r>
        <w:t>Although c</w:t>
      </w:r>
      <w:r w:rsidRPr="00201E83">
        <w:t xml:space="preserve">ustomary ownership of land is legally recognised in the </w:t>
      </w:r>
      <w:r w:rsidRPr="00FD2412">
        <w:rPr>
          <w:i/>
        </w:rPr>
        <w:t>Land and Titles Act</w:t>
      </w:r>
      <w:r>
        <w:t xml:space="preserve">, it is </w:t>
      </w:r>
      <w:r w:rsidRPr="00201E83">
        <w:t xml:space="preserve">not regulated by </w:t>
      </w:r>
      <w:r>
        <w:t xml:space="preserve">a </w:t>
      </w:r>
      <w:r w:rsidRPr="00201E83">
        <w:t xml:space="preserve">Torrens </w:t>
      </w:r>
      <w:r>
        <w:t xml:space="preserve">type system but instead is managed in accordance with the applicable </w:t>
      </w:r>
      <w:r>
        <w:lastRenderedPageBreak/>
        <w:t>current customary usage</w:t>
      </w:r>
      <w:r w:rsidRPr="00201E83">
        <w:t>.</w:t>
      </w:r>
      <w:r>
        <w:rPr>
          <w:rStyle w:val="FootnoteReference"/>
        </w:rPr>
        <w:footnoteReference w:id="66"/>
      </w:r>
      <w:r>
        <w:t xml:space="preserve"> 'Current customary usage' is often referred to as '</w:t>
      </w:r>
      <w:proofErr w:type="spellStart"/>
      <w:r>
        <w:t>kastom</w:t>
      </w:r>
      <w:proofErr w:type="spellEnd"/>
      <w:r>
        <w:t xml:space="preserve">' in the Solomon Islands language, </w:t>
      </w:r>
      <w:proofErr w:type="spellStart"/>
      <w:r w:rsidRPr="002C79AF">
        <w:rPr>
          <w:i/>
        </w:rPr>
        <w:t>P</w:t>
      </w:r>
      <w:r>
        <w:rPr>
          <w:i/>
        </w:rPr>
        <w:t>ijin</w:t>
      </w:r>
      <w:proofErr w:type="spellEnd"/>
      <w:r>
        <w:t>.</w:t>
      </w:r>
      <w:r>
        <w:rPr>
          <w:rStyle w:val="FootnoteReference"/>
        </w:rPr>
        <w:footnoteReference w:id="67"/>
      </w:r>
    </w:p>
    <w:p w:rsidR="00FC0D13" w:rsidRDefault="00FC0D13" w:rsidP="00FC0D13">
      <w:pPr>
        <w:pStyle w:val="NormalIndent"/>
        <w:keepNext/>
        <w:ind w:left="720"/>
      </w:pPr>
      <w:r>
        <w:t xml:space="preserve">Customary land is defined in the </w:t>
      </w:r>
      <w:r w:rsidRPr="00FD2412">
        <w:rPr>
          <w:i/>
        </w:rPr>
        <w:t>Land and Titles Act</w:t>
      </w:r>
      <w:r w:rsidRPr="00FE49AA">
        <w:t xml:space="preserve"> as</w:t>
      </w:r>
      <w:r>
        <w:t>:</w:t>
      </w:r>
      <w:r>
        <w:rPr>
          <w:rStyle w:val="FootnoteReference"/>
          <w:sz w:val="18"/>
        </w:rPr>
        <w:footnoteReference w:id="68"/>
      </w:r>
    </w:p>
    <w:p w:rsidR="00FC0D13" w:rsidRDefault="00FC0D13" w:rsidP="00FC0D13">
      <w:pPr>
        <w:pStyle w:val="NormalIndent"/>
        <w:ind w:left="1451"/>
      </w:pPr>
      <w:r>
        <w:rPr>
          <w:sz w:val="18"/>
        </w:rPr>
        <w:t>A</w:t>
      </w:r>
      <w:r w:rsidRPr="00CC09D7">
        <w:rPr>
          <w:sz w:val="18"/>
        </w:rPr>
        <w:t>ny land (not being registered land, other than land registered as customary land…) lawfully owned, used or occupied by a person or community in accordance with current customary usage, and shall include any land deemed to be customary land</w:t>
      </w:r>
      <w:r>
        <w:rPr>
          <w:sz w:val="18"/>
        </w:rPr>
        <w:t xml:space="preserve"> by</w:t>
      </w:r>
      <w:r w:rsidRPr="00CC09D7">
        <w:rPr>
          <w:sz w:val="18"/>
        </w:rPr>
        <w:t>…</w:t>
      </w:r>
      <w:r>
        <w:rPr>
          <w:sz w:val="18"/>
        </w:rPr>
        <w:t>the repealed Act;</w:t>
      </w:r>
    </w:p>
    <w:p w:rsidR="00FC0D13" w:rsidRDefault="00FC0D13" w:rsidP="00FC0D13">
      <w:pPr>
        <w:pStyle w:val="Bullet1"/>
        <w:numPr>
          <w:ilvl w:val="0"/>
          <w:numId w:val="0"/>
        </w:numPr>
        <w:ind w:left="720"/>
      </w:pPr>
      <w:r>
        <w:t xml:space="preserve">Part XXVI of the </w:t>
      </w:r>
      <w:r w:rsidRPr="0061128A">
        <w:rPr>
          <w:i/>
        </w:rPr>
        <w:t>Land and Titles Act</w:t>
      </w:r>
      <w:r>
        <w:t xml:space="preserve"> deals with customary land. Section 239(1) provides that:</w:t>
      </w:r>
    </w:p>
    <w:p w:rsidR="00FC0D13" w:rsidRDefault="00FC0D13" w:rsidP="00FC0D13">
      <w:pPr>
        <w:pStyle w:val="Bullet1"/>
        <w:numPr>
          <w:ilvl w:val="0"/>
          <w:numId w:val="0"/>
        </w:numPr>
        <w:ind w:left="1451"/>
      </w:pPr>
      <w:r w:rsidRPr="00865894">
        <w:rPr>
          <w:sz w:val="18"/>
        </w:rPr>
        <w:t>The manner of holding, occupying, using, enjoying and disposing of customary land shall be in accordance with the current customary usage applicable thereto, and all questions relating thereto shall be determined accordingly.</w:t>
      </w:r>
    </w:p>
    <w:p w:rsidR="00FC0D13" w:rsidRDefault="00FC0D13" w:rsidP="00FC0D13">
      <w:pPr>
        <w:pStyle w:val="Bullet1"/>
        <w:numPr>
          <w:ilvl w:val="0"/>
          <w:numId w:val="0"/>
        </w:numPr>
        <w:ind w:left="720"/>
      </w:pPr>
      <w:r>
        <w:t xml:space="preserve">The references </w:t>
      </w:r>
      <w:proofErr w:type="gramStart"/>
      <w:r>
        <w:t>to,</w:t>
      </w:r>
      <w:proofErr w:type="gramEnd"/>
      <w:r>
        <w:t xml:space="preserve"> and definitions of, customary land in the </w:t>
      </w:r>
      <w:r w:rsidRPr="00065A17">
        <w:rPr>
          <w:i/>
        </w:rPr>
        <w:t>Land and Titles Act</w:t>
      </w:r>
      <w:r>
        <w:t xml:space="preserve"> underscore the flexibility and absence of codification of customary land law. Jennifer </w:t>
      </w:r>
      <w:proofErr w:type="spellStart"/>
      <w:r>
        <w:t>Corrin</w:t>
      </w:r>
      <w:proofErr w:type="spellEnd"/>
      <w:r>
        <w:t xml:space="preserve"> notes that customary usage is not a universally accepted body of rules or practice and that customary law is, by its very nature, flexible and varied.</w:t>
      </w:r>
      <w:r>
        <w:rPr>
          <w:rStyle w:val="FootnoteReference"/>
        </w:rPr>
        <w:footnoteReference w:id="69"/>
      </w:r>
      <w:r>
        <w:t xml:space="preserve"> The potential for 'current customary usage' to change over time is recognised in its definition in the </w:t>
      </w:r>
      <w:r w:rsidRPr="00FD2412">
        <w:rPr>
          <w:i/>
        </w:rPr>
        <w:t>Land and Titles Act</w:t>
      </w:r>
      <w:r>
        <w:t>:</w:t>
      </w:r>
      <w:r>
        <w:rPr>
          <w:rStyle w:val="FootnoteReference"/>
        </w:rPr>
        <w:footnoteReference w:id="70"/>
      </w:r>
    </w:p>
    <w:p w:rsidR="00FC0D13" w:rsidRPr="0065073B" w:rsidRDefault="00FC0D13" w:rsidP="00FC0D13">
      <w:pPr>
        <w:pStyle w:val="NormalIndent"/>
        <w:ind w:left="1451"/>
        <w:rPr>
          <w:sz w:val="18"/>
        </w:rPr>
      </w:pPr>
      <w:r w:rsidRPr="0065073B">
        <w:rPr>
          <w:sz w:val="18"/>
        </w:rPr>
        <w:t>usage of Solomon Islanders obtaining in relation to the matter in question at the time when that question arises, regardless of whether that usage has obtained from time i</w:t>
      </w:r>
      <w:r>
        <w:rPr>
          <w:sz w:val="18"/>
        </w:rPr>
        <w:t>mmemorial or any lesser period;</w:t>
      </w:r>
    </w:p>
    <w:p w:rsidR="00FC0D13" w:rsidRDefault="00FC0D13" w:rsidP="00FC0D13">
      <w:pPr>
        <w:ind w:left="720"/>
      </w:pPr>
      <w:r w:rsidRPr="00F87F68">
        <w:t xml:space="preserve">The boundaries of </w:t>
      </w:r>
      <w:r>
        <w:t xml:space="preserve">customary </w:t>
      </w:r>
      <w:r w:rsidRPr="00F87F68">
        <w:t xml:space="preserve">lands are </w:t>
      </w:r>
      <w:r>
        <w:t xml:space="preserve">generally </w:t>
      </w:r>
      <w:r w:rsidRPr="00F87F68">
        <w:t>only recorded by oral tradition and marked by natural features such as rivers, mountains, rocks, trees or shrines.</w:t>
      </w:r>
      <w:r>
        <w:rPr>
          <w:rStyle w:val="FootnoteReference"/>
        </w:rPr>
        <w:footnoteReference w:id="71"/>
      </w:r>
      <w:r>
        <w:t xml:space="preserve"> However, the </w:t>
      </w:r>
      <w:r w:rsidRPr="00222F46">
        <w:rPr>
          <w:i/>
        </w:rPr>
        <w:t xml:space="preserve">Customary Land Records Act </w:t>
      </w:r>
      <w:r>
        <w:t xml:space="preserve">does provide a process for recording boundaries in writing. The process for the recording of customary land is outlined in </w:t>
      </w:r>
      <w:hyperlink w:anchor="Sec_2_3_d_ii" w:history="1">
        <w:r w:rsidRPr="00C41419">
          <w:rPr>
            <w:rStyle w:val="Hyperlink"/>
            <w:color w:val="auto"/>
            <w:u w:val="none"/>
          </w:rPr>
          <w:t>section </w:t>
        </w:r>
        <w:r w:rsidRPr="00C41419">
          <w:rPr>
            <w:rStyle w:val="Hyperlink"/>
            <w:color w:val="auto"/>
            <w:u w:val="none"/>
          </w:rPr>
          <w:fldChar w:fldCharType="begin"/>
        </w:r>
        <w:r w:rsidRPr="00C41419">
          <w:rPr>
            <w:rStyle w:val="Hyperlink"/>
            <w:color w:val="auto"/>
            <w:u w:val="none"/>
          </w:rPr>
          <w:instrText xml:space="preserve"> REF _Ref472607976 \w \h </w:instrText>
        </w:r>
        <w:r w:rsidRPr="00C41419">
          <w:rPr>
            <w:rStyle w:val="Hyperlink"/>
            <w:color w:val="auto"/>
            <w:u w:val="none"/>
          </w:rPr>
        </w:r>
        <w:r w:rsidRPr="00C41419">
          <w:rPr>
            <w:rStyle w:val="Hyperlink"/>
            <w:color w:val="auto"/>
            <w:u w:val="none"/>
          </w:rPr>
          <w:fldChar w:fldCharType="separate"/>
        </w:r>
        <w:r w:rsidR="006F1291">
          <w:rPr>
            <w:rStyle w:val="Hyperlink"/>
            <w:color w:val="auto"/>
            <w:u w:val="none"/>
          </w:rPr>
          <w:t>2.3(d)(ii)</w:t>
        </w:r>
        <w:r w:rsidRPr="00C41419">
          <w:rPr>
            <w:rStyle w:val="Hyperlink"/>
            <w:color w:val="auto"/>
            <w:u w:val="none"/>
          </w:rPr>
          <w:fldChar w:fldCharType="end"/>
        </w:r>
      </w:hyperlink>
      <w:r>
        <w:t xml:space="preserve"> below.</w:t>
      </w:r>
    </w:p>
    <w:p w:rsidR="00FC0D13" w:rsidRDefault="00FC0D13" w:rsidP="00FC0D13">
      <w:pPr>
        <w:ind w:left="720"/>
      </w:pPr>
      <w:r>
        <w:t xml:space="preserve">Section 239(2) of the </w:t>
      </w:r>
      <w:r w:rsidRPr="00065A17">
        <w:rPr>
          <w:i/>
        </w:rPr>
        <w:t>Land and Titles Act</w:t>
      </w:r>
      <w:r>
        <w:t xml:space="preserve"> provides that a court ascertaining current customary usage may '</w:t>
      </w:r>
      <w:r w:rsidRPr="0041049E">
        <w:t>refer to any books, treatises, reports (whether published or not), or other works of reference, and may accept any matter or thing stated therein as prima facie evidence of the usage in question unless and until the contrary is proved.</w:t>
      </w:r>
      <w:r>
        <w:t>'</w:t>
      </w:r>
    </w:p>
    <w:p w:rsidR="00FC0D13" w:rsidRPr="00C54731" w:rsidRDefault="00FC0D13" w:rsidP="00FC0D13">
      <w:pPr>
        <w:pStyle w:val="AllensHeading3"/>
        <w:tabs>
          <w:tab w:val="clear" w:pos="1418"/>
          <w:tab w:val="num" w:pos="1451"/>
        </w:tabs>
        <w:ind w:left="1429"/>
        <w:rPr>
          <w:rFonts w:eastAsiaTheme="minorHAnsi"/>
          <w:b/>
          <w:lang w:eastAsia="en-US"/>
        </w:rPr>
      </w:pPr>
      <w:bookmarkStart w:id="64" w:name="Sec_2_3_c"/>
      <w:bookmarkStart w:id="65" w:name="_Ref472597251"/>
      <w:r w:rsidRPr="00C54731">
        <w:rPr>
          <w:rFonts w:eastAsiaTheme="minorHAnsi"/>
          <w:b/>
          <w:lang w:val="en-US" w:eastAsia="en-US"/>
        </w:rPr>
        <w:t>What are the customary rules governing housing, land and property?</w:t>
      </w:r>
    </w:p>
    <w:bookmarkEnd w:id="64"/>
    <w:p w:rsidR="00FC0D13" w:rsidRPr="009C4263" w:rsidRDefault="00FC0D13" w:rsidP="00FC0D13">
      <w:pPr>
        <w:pStyle w:val="AllensHeading4"/>
        <w:tabs>
          <w:tab w:val="clear" w:pos="2126"/>
          <w:tab w:val="num" w:pos="2159"/>
        </w:tabs>
        <w:ind w:left="2137"/>
        <w:rPr>
          <w:rFonts w:eastAsiaTheme="minorHAnsi"/>
          <w:b/>
          <w:lang w:eastAsia="en-US"/>
        </w:rPr>
      </w:pPr>
      <w:r w:rsidRPr="009C4263">
        <w:rPr>
          <w:rFonts w:eastAsiaTheme="minorHAnsi"/>
          <w:b/>
          <w:lang w:eastAsia="en-US"/>
        </w:rPr>
        <w:t>Dealing with customary land</w:t>
      </w:r>
    </w:p>
    <w:p w:rsidR="00FC0D13" w:rsidRPr="0041049E" w:rsidRDefault="00FC0D13" w:rsidP="00FC0D13">
      <w:pPr>
        <w:ind w:left="1429"/>
      </w:pPr>
      <w:r>
        <w:t>E</w:t>
      </w:r>
      <w:r w:rsidRPr="0041049E">
        <w:t xml:space="preserve">very transaction affecting interests in customary land </w:t>
      </w:r>
      <w:r>
        <w:t>must be in accordance with the</w:t>
      </w:r>
      <w:r w:rsidRPr="0041049E">
        <w:t xml:space="preserve"> </w:t>
      </w:r>
      <w:r>
        <w:t>'</w:t>
      </w:r>
      <w:r w:rsidRPr="0041049E">
        <w:t>current customary usage applicable to the land concerned.</w:t>
      </w:r>
      <w:r>
        <w:t>' Whether or not a transaction has occurred is therefore dependent on proof of the relevant customary usage.</w:t>
      </w:r>
      <w:r>
        <w:rPr>
          <w:rStyle w:val="FootnoteReference"/>
          <w:szCs w:val="18"/>
        </w:rPr>
        <w:footnoteReference w:id="72"/>
      </w:r>
    </w:p>
    <w:bookmarkEnd w:id="65"/>
    <w:p w:rsidR="00FC0D13" w:rsidRDefault="00FC0D13" w:rsidP="00FC0D13">
      <w:pPr>
        <w:pStyle w:val="NormalIndent"/>
        <w:ind w:left="1429"/>
      </w:pPr>
      <w:r>
        <w:lastRenderedPageBreak/>
        <w:t>No person other than a Solomon Islander may hold or enjoy an interest in, over or affecting customary land. Any agreement or arrangement made or entered into that is contrary to this position is void and of no effect.</w:t>
      </w:r>
      <w:r>
        <w:rPr>
          <w:rStyle w:val="FootnoteReference"/>
        </w:rPr>
        <w:footnoteReference w:id="73"/>
      </w:r>
    </w:p>
    <w:p w:rsidR="00FC0D13" w:rsidRDefault="00FC0D13" w:rsidP="00FC0D13">
      <w:pPr>
        <w:pStyle w:val="NormalIndent"/>
        <w:ind w:left="1429"/>
      </w:pPr>
      <w:r>
        <w:t>Customary land is generally held communally by a clan or tribe, rather than individually. On this basis, it is said that 'individuals do not own customary land. They have the right only to use it because of their membership by birth to a tribe, clan or lineage.'</w:t>
      </w:r>
      <w:r>
        <w:rPr>
          <w:rStyle w:val="FootnoteReference"/>
        </w:rPr>
        <w:footnoteReference w:id="74"/>
      </w:r>
      <w:r>
        <w:t xml:space="preserve"> </w:t>
      </w:r>
    </w:p>
    <w:p w:rsidR="00FC0D13" w:rsidRDefault="00FC0D13" w:rsidP="00FC0D13">
      <w:pPr>
        <w:pStyle w:val="NormalIndent"/>
        <w:ind w:left="1429"/>
      </w:pPr>
      <w:r>
        <w:t>If customary land is registered, u</w:t>
      </w:r>
      <w:r w:rsidRPr="000716CD">
        <w:t>p to five named trustees</w:t>
      </w:r>
      <w:r>
        <w:t xml:space="preserve"> may</w:t>
      </w:r>
      <w:r w:rsidRPr="000716CD">
        <w:t xml:space="preserve"> hold </w:t>
      </w:r>
      <w:r>
        <w:t>the registered</w:t>
      </w:r>
      <w:r w:rsidRPr="000716CD">
        <w:t xml:space="preserve"> title to land on behalf of a customary group.</w:t>
      </w:r>
      <w:r>
        <w:rPr>
          <w:rStyle w:val="FootnoteReference"/>
        </w:rPr>
        <w:footnoteReference w:id="75"/>
      </w:r>
      <w:r>
        <w:t xml:space="preserve"> However, this process has reportedly led to widespread abuse by trustees who have made agreements relating to customary land and have taken the proceeds from these agreements without proper consultation or sharing of the proceeds with the wider landowning group.</w:t>
      </w:r>
      <w:r>
        <w:rPr>
          <w:rStyle w:val="FootnoteReference"/>
        </w:rPr>
        <w:footnoteReference w:id="76"/>
      </w:r>
    </w:p>
    <w:p w:rsidR="00FC0D13" w:rsidRDefault="00FC0D13" w:rsidP="00FC0D13">
      <w:pPr>
        <w:pStyle w:val="NormalIndent"/>
        <w:ind w:left="1429"/>
      </w:pPr>
      <w:r>
        <w:t xml:space="preserve">Whilst all members of a tribe or clan are </w:t>
      </w:r>
      <w:r w:rsidRPr="0091646E">
        <w:t xml:space="preserve">responsible for </w:t>
      </w:r>
      <w:r>
        <w:t xml:space="preserve">the </w:t>
      </w:r>
      <w:r w:rsidRPr="0091646E">
        <w:t>use of c</w:t>
      </w:r>
      <w:r>
        <w:t>ustomary land, it is usually the chiefs, heads of family or 'big men' that take the leading role in managing customary land.</w:t>
      </w:r>
      <w:r>
        <w:rPr>
          <w:rStyle w:val="FootnoteReference"/>
        </w:rPr>
        <w:footnoteReference w:id="77"/>
      </w:r>
    </w:p>
    <w:p w:rsidR="00FC0D13" w:rsidRDefault="00FC0D13" w:rsidP="00FC0D13">
      <w:pPr>
        <w:pStyle w:val="NormalIndent"/>
        <w:ind w:left="1429"/>
      </w:pPr>
      <w:r>
        <w:t xml:space="preserve">Ownership rights to customary land were originally established through first occupation. In modern times, the primary means of acquiring customary land is through inheritance as the successor in the line to the original discoverer and occupier of the land. </w:t>
      </w:r>
    </w:p>
    <w:p w:rsidR="00FC0D13" w:rsidRDefault="00FC0D13" w:rsidP="00FC0D13">
      <w:pPr>
        <w:pStyle w:val="NormalIndent"/>
        <w:ind w:left="1429"/>
      </w:pPr>
      <w:r>
        <w:t xml:space="preserve">Variations exist between clans as to who is entitled to succeed to ownership. Some groups recognise patrilineal succession (father's interest), others matrilineal (mother's interest) and others </w:t>
      </w:r>
      <w:proofErr w:type="spellStart"/>
      <w:r>
        <w:t>bilineal</w:t>
      </w:r>
      <w:proofErr w:type="spellEnd"/>
      <w:r>
        <w:t xml:space="preserve"> (both mother's and father's interests).</w:t>
      </w:r>
      <w:r>
        <w:rPr>
          <w:rStyle w:val="FootnoteReference"/>
        </w:rPr>
        <w:footnoteReference w:id="78"/>
      </w:r>
      <w:r>
        <w:t xml:space="preserve"> Of the nine provinces making up Solomon Islands, five (Guadalcanal, Isabel, </w:t>
      </w:r>
      <w:proofErr w:type="spellStart"/>
      <w:r>
        <w:t>Makira</w:t>
      </w:r>
      <w:proofErr w:type="spellEnd"/>
      <w:r>
        <w:t>, Central, and Western) practice a matrilineal land tenure system.</w:t>
      </w:r>
      <w:r>
        <w:rPr>
          <w:rStyle w:val="FootnoteReference"/>
        </w:rPr>
        <w:footnoteReference w:id="79"/>
      </w:r>
    </w:p>
    <w:p w:rsidR="00FC0D13" w:rsidRDefault="00FC0D13" w:rsidP="00FC0D13">
      <w:pPr>
        <w:pStyle w:val="NormalIndent"/>
        <w:keepNext/>
        <w:ind w:left="1429"/>
      </w:pPr>
      <w:r>
        <w:t>Other (traditional) methods for acquiring customary ownership of land include:</w:t>
      </w:r>
      <w:r>
        <w:rPr>
          <w:rStyle w:val="FootnoteReference"/>
        </w:rPr>
        <w:footnoteReference w:id="80"/>
      </w:r>
    </w:p>
    <w:p w:rsidR="00FC0D13" w:rsidRDefault="00FC0D13" w:rsidP="00FC0D13">
      <w:pPr>
        <w:pStyle w:val="level3"/>
        <w:numPr>
          <w:ilvl w:val="2"/>
          <w:numId w:val="31"/>
        </w:numPr>
        <w:tabs>
          <w:tab w:val="clear" w:pos="1418"/>
          <w:tab w:val="num" w:pos="2891"/>
          <w:tab w:val="num" w:pos="3556"/>
        </w:tabs>
        <w:ind w:left="2138"/>
      </w:pPr>
      <w:r>
        <w:t>compensation following murder or other atrocity;</w:t>
      </w:r>
    </w:p>
    <w:p w:rsidR="00FC0D13" w:rsidRPr="000761B9" w:rsidRDefault="00FC0D13" w:rsidP="00FC0D13">
      <w:pPr>
        <w:pStyle w:val="level3"/>
        <w:numPr>
          <w:ilvl w:val="2"/>
          <w:numId w:val="31"/>
        </w:numPr>
        <w:tabs>
          <w:tab w:val="clear" w:pos="1418"/>
          <w:tab w:val="num" w:pos="2847"/>
          <w:tab w:val="num" w:pos="2880"/>
        </w:tabs>
        <w:ind w:left="2138"/>
      </w:pPr>
      <w:r>
        <w:t>re</w:t>
      </w:r>
      <w:r w:rsidRPr="000761B9">
        <w:t>ward for bravery or other notable service;</w:t>
      </w:r>
    </w:p>
    <w:p w:rsidR="00FC0D13" w:rsidRPr="000761B9" w:rsidRDefault="00FC0D13" w:rsidP="00FC0D13">
      <w:pPr>
        <w:pStyle w:val="level3"/>
        <w:numPr>
          <w:ilvl w:val="2"/>
          <w:numId w:val="31"/>
        </w:numPr>
        <w:tabs>
          <w:tab w:val="clear" w:pos="1418"/>
          <w:tab w:val="num" w:pos="3589"/>
        </w:tabs>
        <w:ind w:left="2138"/>
      </w:pPr>
      <w:r w:rsidRPr="000761B9">
        <w:t>custom purchases from true land owners; and</w:t>
      </w:r>
    </w:p>
    <w:p w:rsidR="00FC0D13" w:rsidRDefault="00FC0D13" w:rsidP="00FC0D13">
      <w:pPr>
        <w:pStyle w:val="level3"/>
        <w:numPr>
          <w:ilvl w:val="2"/>
          <w:numId w:val="31"/>
        </w:numPr>
        <w:tabs>
          <w:tab w:val="clear" w:pos="1418"/>
          <w:tab w:val="num" w:pos="2869"/>
        </w:tabs>
        <w:ind w:left="2138"/>
      </w:pPr>
      <w:proofErr w:type="gramStart"/>
      <w:r>
        <w:t>marriage</w:t>
      </w:r>
      <w:proofErr w:type="gramEnd"/>
      <w:r>
        <w:t>.</w:t>
      </w:r>
    </w:p>
    <w:p w:rsidR="00FC0D13" w:rsidRDefault="00FC0D13" w:rsidP="00FC0D13">
      <w:pPr>
        <w:pStyle w:val="NormalIndent"/>
        <w:ind w:left="1429"/>
      </w:pPr>
      <w:r>
        <w:lastRenderedPageBreak/>
        <w:t xml:space="preserve">Under the </w:t>
      </w:r>
      <w:r w:rsidRPr="00FD2412">
        <w:rPr>
          <w:i/>
        </w:rPr>
        <w:t>Land and Titles Act</w:t>
      </w:r>
      <w:r>
        <w:t>, customary land may only be transferred to a non-Solomon Islander if that person acquires or becomes entitled to enjoy an interest in the land by virtue of marriage to a Solomon Islander or inheritance, and is entitled to the interest in customary land through that avenue according to current customary usage.</w:t>
      </w:r>
      <w:r>
        <w:rPr>
          <w:rStyle w:val="FootnoteReference"/>
        </w:rPr>
        <w:footnoteReference w:id="81"/>
      </w:r>
    </w:p>
    <w:p w:rsidR="00FC0D13" w:rsidRPr="009C4263" w:rsidRDefault="00FC0D13" w:rsidP="00FC0D13">
      <w:pPr>
        <w:pStyle w:val="AllensHeading4"/>
        <w:tabs>
          <w:tab w:val="clear" w:pos="2126"/>
          <w:tab w:val="num" w:pos="2137"/>
        </w:tabs>
        <w:rPr>
          <w:b/>
        </w:rPr>
      </w:pPr>
      <w:bookmarkStart w:id="66" w:name="Sec_2_3_c_ii"/>
      <w:r w:rsidRPr="009C4263">
        <w:rPr>
          <w:b/>
        </w:rPr>
        <w:t>Disputes over customary land</w:t>
      </w:r>
    </w:p>
    <w:bookmarkEnd w:id="66"/>
    <w:p w:rsidR="00FC0D13" w:rsidRDefault="00FC0D13" w:rsidP="00FC0D13">
      <w:pPr>
        <w:pStyle w:val="NormalIndent"/>
        <w:ind w:left="1418"/>
      </w:pPr>
      <w:r>
        <w:t>Disputes over customary land must first be adjudicated by local chiefs before the matter can be referred to the courts.</w:t>
      </w:r>
      <w:r>
        <w:rPr>
          <w:rStyle w:val="FootnoteReference"/>
        </w:rPr>
        <w:footnoteReference w:id="82"/>
      </w:r>
      <w:r>
        <w:t xml:space="preserve"> The appeal process flows through a series of courts up to the Court of Appeal.</w:t>
      </w:r>
      <w:r>
        <w:rPr>
          <w:rStyle w:val="FootnoteReference"/>
        </w:rPr>
        <w:footnoteReference w:id="83"/>
      </w:r>
    </w:p>
    <w:p w:rsidR="00FC0D13" w:rsidRDefault="00FC0D13" w:rsidP="00FC0D13">
      <w:pPr>
        <w:pStyle w:val="NormalIndent"/>
      </w:pPr>
      <w:r>
        <w:rPr>
          <w:noProof/>
          <w:lang w:val="es-EC" w:eastAsia="es-EC"/>
        </w:rPr>
        <w:drawing>
          <wp:inline distT="0" distB="0" distL="0" distR="0" wp14:anchorId="60E27956" wp14:editId="6B55D585">
            <wp:extent cx="4501662" cy="1802423"/>
            <wp:effectExtent l="0" t="0" r="0" b="762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FC0D13" w:rsidRDefault="00FC0D13" w:rsidP="00FC0D13">
      <w:pPr>
        <w:pStyle w:val="level3"/>
        <w:numPr>
          <w:ilvl w:val="0"/>
          <w:numId w:val="0"/>
        </w:numPr>
        <w:ind w:left="1418"/>
      </w:pPr>
      <w:proofErr w:type="gramStart"/>
      <w:r w:rsidRPr="00C17432">
        <w:rPr>
          <w:b/>
          <w:i/>
        </w:rPr>
        <w:t>Local chiefs</w:t>
      </w:r>
      <w:r>
        <w:t>.</w:t>
      </w:r>
      <w:proofErr w:type="gramEnd"/>
      <w:r>
        <w:t xml:space="preserve"> The role of chiefs in land disputes is important as chiefs are commonly considered to possess the genealogical knowledge necessary to make a determination. Chiefly structures vary throughout the country. In general, 'tribal chiefs', rather than 'village chiefs', sit in the various chiefly structures. Each chiefly structure is generally headed by a single 'paramount chief', </w:t>
      </w:r>
      <w:proofErr w:type="gramStart"/>
      <w:r>
        <w:t>who</w:t>
      </w:r>
      <w:proofErr w:type="gramEnd"/>
      <w:r>
        <w:t xml:space="preserve"> is elected by his fellow chiefs and is supported by an executive committee. When dealing with land disputes, a number of chiefly structures have been observed to adopt procedures from Western judicial systems and Christian doctrine.</w:t>
      </w:r>
      <w:r>
        <w:rPr>
          <w:rStyle w:val="FootnoteReference"/>
        </w:rPr>
        <w:footnoteReference w:id="84"/>
      </w:r>
    </w:p>
    <w:p w:rsidR="00FC0D13" w:rsidRDefault="00FC0D13" w:rsidP="00FC0D13">
      <w:pPr>
        <w:pStyle w:val="level3"/>
        <w:numPr>
          <w:ilvl w:val="0"/>
          <w:numId w:val="0"/>
        </w:numPr>
        <w:ind w:left="1418"/>
      </w:pPr>
      <w:proofErr w:type="gramStart"/>
      <w:r w:rsidRPr="00C17432">
        <w:rPr>
          <w:b/>
          <w:i/>
        </w:rPr>
        <w:t>Local Courts</w:t>
      </w:r>
      <w:r>
        <w:t>.</w:t>
      </w:r>
      <w:proofErr w:type="gramEnd"/>
      <w:r>
        <w:t xml:space="preserve"> Local Courts are presided over by lay decision makers. The rules of evidence do not apply and legal practitioners are prohibited from appearing in Local Courts.</w:t>
      </w:r>
      <w:r>
        <w:rPr>
          <w:rStyle w:val="FootnoteReference"/>
        </w:rPr>
        <w:footnoteReference w:id="85"/>
      </w:r>
      <w:r>
        <w:t xml:space="preserve"> Local courts have exclusive jurisdiction to deal with all proceedings of a civil nature arising in connection with customary land, other than:</w:t>
      </w:r>
    </w:p>
    <w:p w:rsidR="00FC0D13" w:rsidRDefault="00FC0D13" w:rsidP="00FC0D13">
      <w:pPr>
        <w:pStyle w:val="level4"/>
        <w:tabs>
          <w:tab w:val="clear" w:pos="2126"/>
          <w:tab w:val="num" w:pos="2137"/>
        </w:tabs>
      </w:pPr>
      <w:r>
        <w:t xml:space="preserve">matters expressly excluded by the </w:t>
      </w:r>
      <w:r w:rsidRPr="00FD2412">
        <w:rPr>
          <w:i/>
        </w:rPr>
        <w:t>Land and Titles Act</w:t>
      </w:r>
      <w:r>
        <w:t>; and</w:t>
      </w:r>
    </w:p>
    <w:p w:rsidR="00FC0D13" w:rsidRDefault="00FC0D13" w:rsidP="00FC0D13">
      <w:pPr>
        <w:pStyle w:val="level4"/>
        <w:tabs>
          <w:tab w:val="clear" w:pos="2126"/>
          <w:tab w:val="num" w:pos="2137"/>
        </w:tabs>
      </w:pPr>
      <w:proofErr w:type="gramStart"/>
      <w:r>
        <w:t>questions</w:t>
      </w:r>
      <w:proofErr w:type="gramEnd"/>
      <w:r>
        <w:t xml:space="preserve"> as to whether land is or is not customary land.</w:t>
      </w:r>
      <w:r>
        <w:rPr>
          <w:rStyle w:val="FootnoteReference"/>
        </w:rPr>
        <w:footnoteReference w:id="86"/>
      </w:r>
    </w:p>
    <w:p w:rsidR="00FC0D13" w:rsidRDefault="00FC0D13" w:rsidP="00FC0D13">
      <w:pPr>
        <w:pStyle w:val="level3"/>
        <w:numPr>
          <w:ilvl w:val="0"/>
          <w:numId w:val="0"/>
        </w:numPr>
        <w:ind w:left="1418"/>
      </w:pPr>
      <w:r>
        <w:t xml:space="preserve">Resolution of disputes in the Local Courts is complicated by a variety of factors, including difficulties with identifying 'chiefs' due to differences in custom, refusal to accept decisions </w:t>
      </w:r>
      <w:r>
        <w:lastRenderedPageBreak/>
        <w:t>of the Local Court, and the lack of operation of the courts due to inadequate resourcing (with a resultant backlog of cases to be heard).</w:t>
      </w:r>
      <w:r>
        <w:rPr>
          <w:rStyle w:val="FootnoteReference"/>
        </w:rPr>
        <w:footnoteReference w:id="87"/>
      </w:r>
    </w:p>
    <w:p w:rsidR="00FC0D13" w:rsidRDefault="00FC0D13" w:rsidP="00FC0D13">
      <w:pPr>
        <w:pStyle w:val="level3"/>
        <w:numPr>
          <w:ilvl w:val="0"/>
          <w:numId w:val="0"/>
        </w:numPr>
        <w:ind w:left="1418"/>
      </w:pPr>
      <w:proofErr w:type="gramStart"/>
      <w:r w:rsidRPr="00C17432">
        <w:rPr>
          <w:b/>
          <w:i/>
        </w:rPr>
        <w:t>Customary Land Appeal Court</w:t>
      </w:r>
      <w:r>
        <w:t>.</w:t>
      </w:r>
      <w:proofErr w:type="gramEnd"/>
      <w:r>
        <w:t xml:space="preserve"> The Customary Land Appeal Court (</w:t>
      </w:r>
      <w:r w:rsidRPr="00383119">
        <w:rPr>
          <w:b/>
          <w:i/>
        </w:rPr>
        <w:t>CLAC</w:t>
      </w:r>
      <w:r>
        <w:t>) occupies a distinct position in that it deals with matters of custom, but its procedure is that of a formal court.</w:t>
      </w:r>
      <w:r>
        <w:rPr>
          <w:rStyle w:val="FootnoteReference"/>
        </w:rPr>
        <w:footnoteReference w:id="88"/>
      </w:r>
      <w:r>
        <w:t xml:space="preserve"> There are nine CLACs, one for each province. Representation by a legal practitioner is prohibited in this court.</w:t>
      </w:r>
      <w:r>
        <w:rPr>
          <w:rStyle w:val="FootnoteReference"/>
        </w:rPr>
        <w:footnoteReference w:id="89"/>
      </w:r>
    </w:p>
    <w:p w:rsidR="00FC0D13" w:rsidRDefault="00FC0D13" w:rsidP="00FC0D13">
      <w:pPr>
        <w:pStyle w:val="level3"/>
        <w:numPr>
          <w:ilvl w:val="0"/>
          <w:numId w:val="0"/>
        </w:numPr>
        <w:ind w:left="1418"/>
      </w:pPr>
      <w:proofErr w:type="gramStart"/>
      <w:r w:rsidRPr="00C17432">
        <w:rPr>
          <w:b/>
          <w:i/>
        </w:rPr>
        <w:t>High Court and Court of Appeal</w:t>
      </w:r>
      <w:r>
        <w:t>.</w:t>
      </w:r>
      <w:proofErr w:type="gramEnd"/>
      <w:r>
        <w:t xml:space="preserve"> Appeal from the CLAC to the common law courts can only be made on the ground of an error of law or a failure to comply with a procedural requirement (that is, not on matters of custom).</w:t>
      </w:r>
      <w:r>
        <w:rPr>
          <w:rStyle w:val="FootnoteReference"/>
        </w:rPr>
        <w:footnoteReference w:id="90"/>
      </w:r>
      <w:r>
        <w:t xml:space="preserve"> Leave is required to appeal a decision of the High Court to the Court of Appeal.</w:t>
      </w:r>
      <w:r>
        <w:rPr>
          <w:rStyle w:val="FootnoteReference"/>
        </w:rPr>
        <w:footnoteReference w:id="91"/>
      </w:r>
    </w:p>
    <w:p w:rsidR="00FC0D13" w:rsidRPr="00AA6DF2" w:rsidRDefault="00FC0D13" w:rsidP="00FC0D13">
      <w:pPr>
        <w:pStyle w:val="level3"/>
        <w:numPr>
          <w:ilvl w:val="0"/>
          <w:numId w:val="0"/>
        </w:numPr>
        <w:ind w:left="1418"/>
      </w:pPr>
      <w:r w:rsidRPr="00AA6DF2">
        <w:t>Disputes over leases fall within the jurisdiction of the High Court and the Court of Appeal.</w:t>
      </w:r>
      <w:r>
        <w:rPr>
          <w:rStyle w:val="FootnoteReference"/>
        </w:rPr>
        <w:footnoteReference w:id="92"/>
      </w:r>
    </w:p>
    <w:p w:rsidR="00FC0D13" w:rsidRPr="009D7B33" w:rsidRDefault="00FC0D13" w:rsidP="00FC0D13">
      <w:pPr>
        <w:pStyle w:val="AllensHeading3"/>
        <w:tabs>
          <w:tab w:val="clear" w:pos="1418"/>
          <w:tab w:val="num" w:pos="1440"/>
        </w:tabs>
        <w:rPr>
          <w:rFonts w:eastAsiaTheme="minorHAnsi"/>
          <w:b/>
          <w:lang w:eastAsia="en-US"/>
        </w:rPr>
      </w:pPr>
      <w:r w:rsidRPr="009D7B33">
        <w:rPr>
          <w:rFonts w:eastAsiaTheme="minorHAnsi"/>
          <w:b/>
          <w:lang w:val="en-US" w:eastAsia="en-US"/>
        </w:rPr>
        <w:t>What is the relationship between traditional legal ownership and customary ownership of land? Does the former override the latter?</w:t>
      </w:r>
    </w:p>
    <w:p w:rsidR="00FC0D13" w:rsidRPr="009C4263" w:rsidRDefault="00FC0D13" w:rsidP="00FC0D13">
      <w:pPr>
        <w:pStyle w:val="AllensHeading4"/>
        <w:tabs>
          <w:tab w:val="clear" w:pos="2126"/>
          <w:tab w:val="num" w:pos="2148"/>
        </w:tabs>
        <w:rPr>
          <w:rFonts w:eastAsiaTheme="minorHAnsi"/>
          <w:b/>
          <w:lang w:eastAsia="en-US"/>
        </w:rPr>
      </w:pPr>
      <w:r w:rsidRPr="009C4263">
        <w:rPr>
          <w:rFonts w:eastAsiaTheme="minorHAnsi"/>
          <w:b/>
          <w:lang w:eastAsia="en-US"/>
        </w:rPr>
        <w:t>Interaction between customary land and non-customary land</w:t>
      </w:r>
    </w:p>
    <w:p w:rsidR="00FC0D13" w:rsidRDefault="00FC0D13" w:rsidP="00FC0D13">
      <w:pPr>
        <w:pStyle w:val="NormalIndent"/>
        <w:ind w:left="1418"/>
      </w:pPr>
      <w:r>
        <w:t xml:space="preserve">Customary land ownership </w:t>
      </w:r>
      <w:proofErr w:type="spellStart"/>
      <w:r w:rsidR="00731F1E">
        <w:t>F</w:t>
      </w:r>
      <w:r>
        <w:t>structures</w:t>
      </w:r>
      <w:proofErr w:type="spellEnd"/>
      <w:r>
        <w:t xml:space="preserve"> sit alongside, but are separate from, formal legal ownership and apart from transactions permitted by customary usage between Solomon Islanders, the only allowable dealings with customary land are:</w:t>
      </w:r>
    </w:p>
    <w:p w:rsidR="00FC0D13" w:rsidRDefault="00FC0D13" w:rsidP="00FC0D13">
      <w:pPr>
        <w:pStyle w:val="level3"/>
        <w:numPr>
          <w:ilvl w:val="2"/>
          <w:numId w:val="32"/>
        </w:numPr>
        <w:tabs>
          <w:tab w:val="clear" w:pos="1418"/>
          <w:tab w:val="num" w:pos="2149"/>
        </w:tabs>
        <w:ind w:left="2127"/>
      </w:pPr>
      <w:r>
        <w:t xml:space="preserve">compulsory acquisitions for public purposes (see section </w:t>
      </w:r>
      <w:r>
        <w:fldChar w:fldCharType="begin"/>
      </w:r>
      <w:r>
        <w:instrText xml:space="preserve"> REF _Ref468808235 \r \h  \* MERGEFORMAT </w:instrText>
      </w:r>
      <w:r>
        <w:fldChar w:fldCharType="separate"/>
      </w:r>
      <w:r w:rsidR="006F1291">
        <w:t>4.1</w:t>
      </w:r>
      <w:r>
        <w:fldChar w:fldCharType="end"/>
      </w:r>
      <w:r>
        <w:t xml:space="preserve"> below); and</w:t>
      </w:r>
    </w:p>
    <w:p w:rsidR="00FC0D13" w:rsidRDefault="00FC0D13" w:rsidP="00FC0D13">
      <w:pPr>
        <w:pStyle w:val="level3"/>
        <w:tabs>
          <w:tab w:val="clear" w:pos="1418"/>
          <w:tab w:val="num" w:pos="1440"/>
        </w:tabs>
        <w:ind w:left="2127"/>
      </w:pPr>
      <w:proofErr w:type="gramStart"/>
      <w:r>
        <w:t>sale</w:t>
      </w:r>
      <w:proofErr w:type="gramEnd"/>
      <w:r>
        <w:t xml:space="preserve"> or lease to the Commissioner of Lands or a Provincial Assembly.</w:t>
      </w:r>
      <w:r>
        <w:rPr>
          <w:rStyle w:val="FootnoteReference"/>
        </w:rPr>
        <w:footnoteReference w:id="93"/>
      </w:r>
    </w:p>
    <w:p w:rsidR="00FC0D13" w:rsidRPr="000E3BE6" w:rsidRDefault="00FC0D13" w:rsidP="00FC0D13">
      <w:pPr>
        <w:pStyle w:val="NormalIndent"/>
        <w:ind w:left="1418"/>
      </w:pPr>
      <w:r>
        <w:t xml:space="preserve">There is some debate over whether a licence allowing non-Solomon Islanders to use customary land is permitted </w:t>
      </w:r>
      <w:r w:rsidRPr="000E3BE6">
        <w:t>by law, given that only Solomon Islanders are permitted to own an 'interest' in customary land. It is unclear whether a licence can be regarded as an interest in land, and in practice, customary land holders do grant licences to non-Solomon Islanders.</w:t>
      </w:r>
      <w:r w:rsidRPr="000E3BE6">
        <w:rPr>
          <w:rStyle w:val="FootnoteReference"/>
        </w:rPr>
        <w:footnoteReference w:id="94"/>
      </w:r>
    </w:p>
    <w:p w:rsidR="00FC0D13" w:rsidRPr="000E3BE6" w:rsidRDefault="00FC0D13" w:rsidP="00FC0D13">
      <w:pPr>
        <w:pStyle w:val="NormalIndent"/>
        <w:ind w:left="1418"/>
      </w:pPr>
      <w:r w:rsidRPr="000E3BE6">
        <w:t>While the formal (non-customary) sale or transfer of customary land to persons other than the State is prohibited, it is possible for customary landowners to indirectly lease their land to non-Solomon Islanders if the land is first converted to a registered perpetual estate.</w:t>
      </w:r>
    </w:p>
    <w:p w:rsidR="00FC0D13" w:rsidRPr="009C4263" w:rsidRDefault="00FC0D13" w:rsidP="00FC0D13">
      <w:pPr>
        <w:pStyle w:val="AllensHeading4"/>
        <w:rPr>
          <w:b/>
        </w:rPr>
      </w:pPr>
      <w:bookmarkStart w:id="67" w:name="_Ref472607976"/>
      <w:bookmarkStart w:id="68" w:name="Sec_2_3_d_ii"/>
      <w:r w:rsidRPr="009C4263">
        <w:rPr>
          <w:b/>
        </w:rPr>
        <w:t>Recording and registration of customary land</w:t>
      </w:r>
      <w:bookmarkEnd w:id="67"/>
      <w:bookmarkEnd w:id="68"/>
    </w:p>
    <w:p w:rsidR="00FC0D13" w:rsidRDefault="00FC0D13" w:rsidP="00FC0D13">
      <w:pPr>
        <w:pStyle w:val="NormalIndent"/>
        <w:ind w:left="1418"/>
      </w:pPr>
      <w:r w:rsidRPr="000E3BE6">
        <w:t xml:space="preserve">The </w:t>
      </w:r>
      <w:r w:rsidRPr="000E3BE6">
        <w:rPr>
          <w:i/>
        </w:rPr>
        <w:t>Customary Land Records Act</w:t>
      </w:r>
      <w:r w:rsidRPr="000E3BE6">
        <w:t xml:space="preserve"> provides that any customary land holding group or person who claims an interest in customary land may apply to the Land Record Office for the recording of customary land rights and the demarcation of the boundaries of such </w:t>
      </w:r>
      <w:r w:rsidRPr="000E3BE6">
        <w:lastRenderedPageBreak/>
        <w:t>land.</w:t>
      </w:r>
      <w:r w:rsidRPr="000E3BE6">
        <w:rPr>
          <w:rStyle w:val="FootnoteReference"/>
        </w:rPr>
        <w:footnoteReference w:id="95"/>
      </w:r>
      <w:r w:rsidRPr="000E3BE6">
        <w:t xml:space="preserve"> Prior to the late 1990s, the Central Land Record Office existed to record</w:t>
      </w:r>
      <w:r w:rsidRPr="00C17919">
        <w:t xml:space="preserve"> customary land details. However, this office was </w:t>
      </w:r>
      <w:r>
        <w:t>destroyed in the late 1990s during 'the</w:t>
      </w:r>
      <w:r w:rsidRPr="00E00BF3">
        <w:t xml:space="preserve"> tensions</w:t>
      </w:r>
      <w:r>
        <w:t>'</w:t>
      </w:r>
      <w:r w:rsidRPr="00E00BF3">
        <w:t>.</w:t>
      </w:r>
      <w:r>
        <w:t xml:space="preserve"> Only one area is Solomon Islands </w:t>
      </w:r>
      <w:proofErr w:type="gramStart"/>
      <w:r>
        <w:t>has</w:t>
      </w:r>
      <w:proofErr w:type="gramEnd"/>
      <w:r>
        <w:t xml:space="preserve"> been recorded under the </w:t>
      </w:r>
      <w:r w:rsidRPr="0054137F">
        <w:rPr>
          <w:i/>
        </w:rPr>
        <w:t xml:space="preserve">Customary Land Records Act </w:t>
      </w:r>
      <w:r>
        <w:t xml:space="preserve">since the tensions: land in the </w:t>
      </w:r>
      <w:proofErr w:type="spellStart"/>
      <w:r>
        <w:t>Aluta</w:t>
      </w:r>
      <w:proofErr w:type="spellEnd"/>
      <w:r>
        <w:t xml:space="preserve"> Palm Oil project area in </w:t>
      </w:r>
      <w:proofErr w:type="spellStart"/>
      <w:r>
        <w:t>Malaita</w:t>
      </w:r>
      <w:proofErr w:type="spellEnd"/>
      <w:r>
        <w:t>.</w:t>
      </w:r>
      <w:r>
        <w:rPr>
          <w:rStyle w:val="FootnoteReference"/>
        </w:rPr>
        <w:footnoteReference w:id="96"/>
      </w:r>
      <w:r>
        <w:t xml:space="preserve"> </w:t>
      </w:r>
    </w:p>
    <w:p w:rsidR="00FC0D13" w:rsidRDefault="00FC0D13" w:rsidP="00FC0D13">
      <w:pPr>
        <w:pStyle w:val="NormalIndent"/>
        <w:ind w:left="1418"/>
      </w:pPr>
      <w:r w:rsidRPr="00C17919">
        <w:t xml:space="preserve">The Ministry </w:t>
      </w:r>
      <w:r>
        <w:t xml:space="preserve">has </w:t>
      </w:r>
      <w:r w:rsidRPr="00C17919">
        <w:t>propose</w:t>
      </w:r>
      <w:r>
        <w:t>d</w:t>
      </w:r>
      <w:r w:rsidRPr="00C17919">
        <w:t xml:space="preserve"> to establish a new Central Land Record Office to implement the </w:t>
      </w:r>
      <w:r w:rsidRPr="00C17919">
        <w:rPr>
          <w:i/>
        </w:rPr>
        <w:t>Customary Land Records Act</w:t>
      </w:r>
      <w:r>
        <w:t>;</w:t>
      </w:r>
      <w:r w:rsidRPr="00C17919">
        <w:rPr>
          <w:vertAlign w:val="superscript"/>
        </w:rPr>
        <w:footnoteReference w:id="97"/>
      </w:r>
      <w:r>
        <w:t xml:space="preserve"> however, as at the date of this memorandum the Office has not been re-established.</w:t>
      </w:r>
      <w:r w:rsidRPr="00E00BF3">
        <w:t xml:space="preserve"> One recording project was carried out</w:t>
      </w:r>
      <w:r>
        <w:t xml:space="preserve"> in 2007</w:t>
      </w:r>
      <w:r w:rsidRPr="00E00BF3">
        <w:t xml:space="preserve">, but </w:t>
      </w:r>
      <w:r>
        <w:t xml:space="preserve">it was </w:t>
      </w:r>
      <w:r w:rsidRPr="00E00BF3">
        <w:t>not in full compliance with the Act.</w:t>
      </w:r>
      <w:r w:rsidRPr="00E00BF3">
        <w:rPr>
          <w:rStyle w:val="FootnoteReference"/>
        </w:rPr>
        <w:footnoteReference w:id="98"/>
      </w:r>
      <w:r>
        <w:t xml:space="preserve"> In February 2017, steps were underway to start the recording process in </w:t>
      </w:r>
      <w:proofErr w:type="spellStart"/>
      <w:r>
        <w:t>Malaita</w:t>
      </w:r>
      <w:proofErr w:type="spellEnd"/>
      <w:r>
        <w:t xml:space="preserve">, Choiseul, Guadalcanal and </w:t>
      </w:r>
      <w:proofErr w:type="spellStart"/>
      <w:r>
        <w:t>Temotu</w:t>
      </w:r>
      <w:proofErr w:type="spellEnd"/>
      <w:r>
        <w:t>.</w:t>
      </w:r>
      <w:r>
        <w:rPr>
          <w:rStyle w:val="FootnoteReference"/>
        </w:rPr>
        <w:footnoteReference w:id="99"/>
      </w:r>
    </w:p>
    <w:p w:rsidR="00FC0D13" w:rsidRDefault="00FC0D13" w:rsidP="00FC0D13">
      <w:pPr>
        <w:pStyle w:val="NormalIndent"/>
        <w:ind w:left="1418"/>
      </w:pPr>
      <w:r>
        <w:t>Among other things, the statutory process for recording customary land involves:</w:t>
      </w:r>
    </w:p>
    <w:p w:rsidR="00FC0D13" w:rsidRDefault="00FC0D13" w:rsidP="00FC0D13">
      <w:pPr>
        <w:pStyle w:val="level3"/>
        <w:numPr>
          <w:ilvl w:val="2"/>
          <w:numId w:val="33"/>
        </w:numPr>
        <w:tabs>
          <w:tab w:val="clear" w:pos="1418"/>
          <w:tab w:val="num" w:pos="2127"/>
        </w:tabs>
        <w:ind w:left="2127"/>
      </w:pPr>
      <w:r>
        <w:t>public notification of the application;</w:t>
      </w:r>
    </w:p>
    <w:p w:rsidR="00FC0D13" w:rsidRDefault="00FC0D13" w:rsidP="00FC0D13">
      <w:pPr>
        <w:pStyle w:val="level3"/>
        <w:ind w:left="2127"/>
      </w:pPr>
      <w:r>
        <w:t>walking of the boundary of the land by surveyors and the claimant group;</w:t>
      </w:r>
    </w:p>
    <w:p w:rsidR="00FC0D13" w:rsidRDefault="00FC0D13" w:rsidP="00FC0D13">
      <w:pPr>
        <w:pStyle w:val="level3"/>
        <w:ind w:left="2127"/>
      </w:pPr>
      <w:r>
        <w:t>consultations with any groups claiming secondary rights; and</w:t>
      </w:r>
    </w:p>
    <w:p w:rsidR="00FC0D13" w:rsidRDefault="00FC0D13" w:rsidP="00FC0D13">
      <w:pPr>
        <w:pStyle w:val="level3"/>
        <w:ind w:left="2127"/>
      </w:pPr>
      <w:r>
        <w:t>the recording of prescribed information including the recognised name of the customary land holding group claiming the land rights, the genealogy of the group showing the basis for membership of the customary land holding group, land boundaries and the primary and secondary rights claimed.</w:t>
      </w:r>
      <w:r>
        <w:rPr>
          <w:rStyle w:val="FootnoteReference"/>
        </w:rPr>
        <w:footnoteReference w:id="100"/>
      </w:r>
    </w:p>
    <w:p w:rsidR="00FC0D13" w:rsidRPr="00E00BF3" w:rsidRDefault="00FC0D13" w:rsidP="00FC0D13">
      <w:pPr>
        <w:keepNext/>
        <w:ind w:left="1418"/>
        <w:jc w:val="both"/>
      </w:pPr>
      <w:proofErr w:type="spellStart"/>
      <w:r w:rsidRPr="00E00BF3">
        <w:t>Corrin</w:t>
      </w:r>
      <w:proofErr w:type="spellEnd"/>
      <w:r w:rsidRPr="00E00BF3">
        <w:t xml:space="preserve"> notes:</w:t>
      </w:r>
      <w:r w:rsidRPr="00E00BF3">
        <w:rPr>
          <w:rStyle w:val="FootnoteReference"/>
        </w:rPr>
        <w:footnoteReference w:id="101"/>
      </w:r>
    </w:p>
    <w:p w:rsidR="00FC0D13" w:rsidRPr="00E00BF3" w:rsidRDefault="00FC0D13" w:rsidP="00FC0D13">
      <w:pPr>
        <w:ind w:left="2149"/>
        <w:jc w:val="both"/>
        <w:rPr>
          <w:sz w:val="18"/>
          <w:szCs w:val="18"/>
        </w:rPr>
      </w:pPr>
      <w:r w:rsidRPr="00E00BF3">
        <w:rPr>
          <w:sz w:val="18"/>
          <w:szCs w:val="18"/>
        </w:rPr>
        <w:t>There seems to be a general misunderstanding about the processes under the [Customary Land Records] Act. It does not result in registration, but only in 'recording'. This 'record' does not confer any formal title on any individual or group, but rather identifies the leaders with authority to deal with the land and delineates agreed boundaries and tribal links. … The Act does give an option for the representatives identified under the recording process to apply for the recorded land to be registered, but this then leads back to the</w:t>
      </w:r>
      <w:r w:rsidRPr="00E00BF3">
        <w:rPr>
          <w:i/>
          <w:sz w:val="18"/>
          <w:szCs w:val="18"/>
        </w:rPr>
        <w:t xml:space="preserve"> Land and Titles Act</w:t>
      </w:r>
      <w:r w:rsidRPr="00E00BF3">
        <w:rPr>
          <w:sz w:val="18"/>
          <w:szCs w:val="18"/>
        </w:rPr>
        <w:t xml:space="preserve"> under which the only way to register land is by a process of alienation. … The lack of an avenue for customary communities to formalise their land tenure in a way that is accepted under the formal law is a significant problem. It often prevents them from enforcing their rights against other communities and outsiders.</w:t>
      </w:r>
    </w:p>
    <w:p w:rsidR="00FC0D13" w:rsidRDefault="00FC0D13" w:rsidP="00FC0D13">
      <w:pPr>
        <w:pStyle w:val="NormalIndent"/>
        <w:ind w:left="1418"/>
      </w:pPr>
      <w:r w:rsidRPr="00D9174C">
        <w:t xml:space="preserve">Once the record is finalised by the National Recorder, the primary rights of the recorded land holding group are not liable to be defeated except as provided under the </w:t>
      </w:r>
      <w:r w:rsidRPr="0047243C">
        <w:rPr>
          <w:i/>
        </w:rPr>
        <w:t>Customary Land Records Act</w:t>
      </w:r>
      <w:r w:rsidRPr="00D9174C">
        <w:t xml:space="preserve"> and are held free from all other interests and claims whatsoever (but subject to the interests and conditions shown on the Record</w:t>
      </w:r>
      <w:r>
        <w:t>)</w:t>
      </w:r>
      <w:r w:rsidRPr="00D9174C">
        <w:t>.</w:t>
      </w:r>
      <w:r w:rsidRPr="00D9174C">
        <w:rPr>
          <w:rStyle w:val="FootnoteReference"/>
        </w:rPr>
        <w:footnoteReference w:id="102"/>
      </w:r>
      <w:r w:rsidRPr="00D9174C">
        <w:t xml:space="preserve"> </w:t>
      </w:r>
    </w:p>
    <w:p w:rsidR="00FC0D13" w:rsidRDefault="00FC0D13" w:rsidP="00FC0D13">
      <w:pPr>
        <w:pStyle w:val="NormalIndent"/>
        <w:ind w:left="1418"/>
      </w:pPr>
      <w:r w:rsidRPr="00E00BF3">
        <w:lastRenderedPageBreak/>
        <w:t>Once the land holding group is recorded with the Land Record Office, the group may apply to the Registry of Titles to have thei</w:t>
      </w:r>
      <w:r>
        <w:t>r rights registered</w:t>
      </w:r>
      <w:r>
        <w:rPr>
          <w:rStyle w:val="FootnoteReference"/>
        </w:rPr>
        <w:footnoteReference w:id="103"/>
      </w:r>
      <w:r>
        <w:t xml:space="preserve"> (r</w:t>
      </w:r>
      <w:r w:rsidRPr="00E00BF3">
        <w:t>egistration of customary land is not mandatory</w:t>
      </w:r>
      <w:r>
        <w:t xml:space="preserve">). </w:t>
      </w:r>
      <w:proofErr w:type="spellStart"/>
      <w:r>
        <w:t>Corrin</w:t>
      </w:r>
      <w:proofErr w:type="spellEnd"/>
      <w:r>
        <w:t xml:space="preserve"> notes that the result of the registration of customary land under the </w:t>
      </w:r>
      <w:r w:rsidRPr="00FD2412">
        <w:rPr>
          <w:i/>
        </w:rPr>
        <w:t>Land and Titles Act</w:t>
      </w:r>
      <w:r>
        <w:t xml:space="preserve"> is that the land is no longer classified as customary land, but then as a perpetual estate under section 109 of the </w:t>
      </w:r>
      <w:r w:rsidRPr="00FD2412">
        <w:rPr>
          <w:i/>
        </w:rPr>
        <w:t>Land and Titles Act</w:t>
      </w:r>
      <w:r>
        <w:t>.</w:t>
      </w:r>
      <w:r>
        <w:rPr>
          <w:rStyle w:val="FootnoteReference"/>
        </w:rPr>
        <w:footnoteReference w:id="104"/>
      </w:r>
    </w:p>
    <w:p w:rsidR="00FC0D13" w:rsidRPr="000E3BE6" w:rsidRDefault="00FC0D13" w:rsidP="00FC0D13">
      <w:pPr>
        <w:pStyle w:val="NormalIndent"/>
        <w:ind w:left="1418"/>
      </w:pPr>
      <w:r w:rsidRPr="00E00BF3">
        <w:t>According to at least one academic, there is a lack of clarity regarding the operation of legislation governing land tenure, with the resulting uncertainty giving rise to 'a culture of disputing land "ownership" and boundaries'.</w:t>
      </w:r>
      <w:r w:rsidRPr="00E00BF3">
        <w:rPr>
          <w:rStyle w:val="FootnoteReference"/>
        </w:rPr>
        <w:footnoteReference w:id="105"/>
      </w:r>
      <w:r w:rsidRPr="00E00BF3">
        <w:t xml:space="preserve"> This uncertainty may contr</w:t>
      </w:r>
      <w:r>
        <w:t xml:space="preserve">ibute to a reluctance to register customary land </w:t>
      </w:r>
      <w:r>
        <w:rPr>
          <w:rFonts w:cs="Arial"/>
        </w:rPr>
        <w:t>—</w:t>
      </w:r>
      <w:r>
        <w:t xml:space="preserve"> </w:t>
      </w:r>
      <w:proofErr w:type="spellStart"/>
      <w:r>
        <w:t>AusAID</w:t>
      </w:r>
      <w:proofErr w:type="spellEnd"/>
      <w:r>
        <w:t xml:space="preserve"> reported in 2008 that only 0.2% of customary land in Solomon Islands </w:t>
      </w:r>
      <w:r w:rsidRPr="000E3BE6">
        <w:t>had been registered.</w:t>
      </w:r>
      <w:r w:rsidRPr="000E3BE6">
        <w:rPr>
          <w:rStyle w:val="FootnoteReference"/>
        </w:rPr>
        <w:footnoteReference w:id="106"/>
      </w:r>
    </w:p>
    <w:p w:rsidR="00FC0D13" w:rsidRPr="009C4263" w:rsidRDefault="00FC0D13" w:rsidP="00FC0D13">
      <w:pPr>
        <w:pStyle w:val="AllensHeading4"/>
        <w:rPr>
          <w:b/>
        </w:rPr>
      </w:pPr>
      <w:r w:rsidRPr="009C4263">
        <w:rPr>
          <w:b/>
        </w:rPr>
        <w:t>Customary land and disaster policy</w:t>
      </w:r>
    </w:p>
    <w:p w:rsidR="00FC0D13" w:rsidRDefault="00FC0D13" w:rsidP="00FC0D13">
      <w:pPr>
        <w:pStyle w:val="NormalIndent"/>
        <w:ind w:left="1418"/>
      </w:pPr>
      <w:r w:rsidRPr="000E3BE6">
        <w:t>In its National Adaptation Programmes of Action framework (</w:t>
      </w:r>
      <w:r w:rsidRPr="000E3BE6">
        <w:rPr>
          <w:b/>
          <w:i/>
        </w:rPr>
        <w:t>NAPA</w:t>
      </w:r>
      <w:r w:rsidRPr="000E3BE6">
        <w:t>), the Solomon Islands' Ministry of Environment, Conservation and Meteorology</w:t>
      </w:r>
      <w:r>
        <w:t xml:space="preserve"> acknowledged the importance of 'effective land administration that delivers secure title to productive land in a timely and efficient manner',</w:t>
      </w:r>
      <w:r>
        <w:rPr>
          <w:rStyle w:val="FootnoteReference"/>
        </w:rPr>
        <w:footnoteReference w:id="107"/>
      </w:r>
      <w:r>
        <w:t xml:space="preserve"> largely in the face of climate change and rising sea levels. Maintaining formal records and maps of land boundaries is also seen as central to reducing conflict over customary land.</w:t>
      </w:r>
      <w:r>
        <w:rPr>
          <w:rStyle w:val="FootnoteReference"/>
        </w:rPr>
        <w:footnoteReference w:id="108"/>
      </w:r>
    </w:p>
    <w:p w:rsidR="00FC0D13" w:rsidRDefault="00FC0D13" w:rsidP="00FC0D13">
      <w:pPr>
        <w:pStyle w:val="NormalIndent"/>
        <w:ind w:left="1418"/>
      </w:pPr>
      <w:r>
        <w:t>In the NAPA, the Ministry identified that land tenure has 'implications for dealing with and managing the effects of climate change… a critical issue when considering relocation and resettlements schemes'.</w:t>
      </w:r>
      <w:r>
        <w:rPr>
          <w:rStyle w:val="FootnoteReference"/>
        </w:rPr>
        <w:footnoteReference w:id="109"/>
      </w:r>
      <w:r>
        <w:t xml:space="preserve"> In order to make land available and stimulate the economy, the Ministry proposed to bring the customary tenure onto the mainstream market 'by providing security of title for land owning groups under a new law' which balances traditional institutions with government administration.</w:t>
      </w:r>
      <w:r>
        <w:rPr>
          <w:rStyle w:val="FootnoteReference"/>
        </w:rPr>
        <w:footnoteReference w:id="110"/>
      </w:r>
      <w:r>
        <w:t xml:space="preserve"> As at the date of this research note, no new laws appear to have been enacted to </w:t>
      </w:r>
      <w:proofErr w:type="gramStart"/>
      <w:r>
        <w:t>effect</w:t>
      </w:r>
      <w:proofErr w:type="gramEnd"/>
      <w:r>
        <w:t xml:space="preserve"> this goal.</w:t>
      </w:r>
    </w:p>
    <w:p w:rsidR="00FC0D13" w:rsidRDefault="00FC0D13" w:rsidP="00FC0D13">
      <w:pPr>
        <w:pStyle w:val="AllensHeading2"/>
      </w:pPr>
      <w:bookmarkStart w:id="69" w:name="Sec_2_4"/>
      <w:bookmarkStart w:id="70" w:name="_Toc513116824"/>
      <w:bookmarkStart w:id="71" w:name="_Ref474358463"/>
      <w:bookmarkStart w:id="72" w:name="Informal_Settlements"/>
      <w:bookmarkEnd w:id="69"/>
      <w:r>
        <w:t>Informal settlements</w:t>
      </w:r>
      <w:bookmarkEnd w:id="70"/>
      <w:r>
        <w:t xml:space="preserve"> </w:t>
      </w:r>
      <w:bookmarkEnd w:id="71"/>
    </w:p>
    <w:bookmarkEnd w:id="72"/>
    <w:p w:rsidR="00FC0D13" w:rsidRPr="009D7B33" w:rsidRDefault="00FC0D13" w:rsidP="00FC0D13">
      <w:pPr>
        <w:pStyle w:val="AllensHeading3"/>
        <w:rPr>
          <w:b/>
        </w:rPr>
      </w:pPr>
      <w:r w:rsidRPr="009D7B33">
        <w:rPr>
          <w:b/>
        </w:rPr>
        <w:t>What are the locations and boundaries of informal settlements?</w:t>
      </w:r>
    </w:p>
    <w:p w:rsidR="00FC0D13" w:rsidRDefault="00FC0D13" w:rsidP="00FC0D13">
      <w:pPr>
        <w:pStyle w:val="NormalIndent"/>
      </w:pPr>
      <w:r>
        <w:t>Informal settlements are clustered around the major urban centres and are a permanent feature of the Solomon Islands landscape. Twenty per cent of the country's population currently live in urban and semi-urban areas which are predo</w:t>
      </w:r>
      <w:r w:rsidRPr="000536E4">
        <w:t>minately built on public land.</w:t>
      </w:r>
    </w:p>
    <w:p w:rsidR="00FC0D13" w:rsidRDefault="00FC0D13" w:rsidP="00FC0D13">
      <w:pPr>
        <w:pStyle w:val="NormalIndent"/>
      </w:pPr>
      <w:r>
        <w:t>The population of the major urban centres is set out in the table below.</w:t>
      </w:r>
      <w:r>
        <w:rPr>
          <w:rStyle w:val="FootnoteReference"/>
        </w:rPr>
        <w:footnoteReference w:id="111"/>
      </w:r>
    </w:p>
    <w:tbl>
      <w:tblPr>
        <w:tblStyle w:val="TableGrid"/>
        <w:tblW w:w="0" w:type="auto"/>
        <w:jc w:val="center"/>
        <w:tblInd w:w="1327"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563"/>
        <w:gridCol w:w="1418"/>
        <w:gridCol w:w="2834"/>
      </w:tblGrid>
      <w:tr w:rsidR="00FC0D13" w:rsidTr="00FC0D13">
        <w:trPr>
          <w:tblHeader/>
          <w:jc w:val="center"/>
        </w:trPr>
        <w:tc>
          <w:tcPr>
            <w:tcW w:w="1563" w:type="dxa"/>
            <w:shd w:val="clear" w:color="auto" w:fill="0074BF"/>
            <w:vAlign w:val="center"/>
          </w:tcPr>
          <w:p w:rsidR="00FC0D13" w:rsidRPr="001861C5" w:rsidRDefault="00FC0D13" w:rsidP="00FC0D13">
            <w:pPr>
              <w:pStyle w:val="NormalIndent"/>
              <w:ind w:left="0"/>
              <w:jc w:val="center"/>
              <w:rPr>
                <w:b/>
                <w:color w:val="FFFFFF" w:themeColor="background1"/>
              </w:rPr>
            </w:pPr>
            <w:r w:rsidRPr="001861C5">
              <w:rPr>
                <w:b/>
                <w:color w:val="FFFFFF" w:themeColor="background1"/>
              </w:rPr>
              <w:lastRenderedPageBreak/>
              <w:t>Urban Centre</w:t>
            </w:r>
          </w:p>
        </w:tc>
        <w:tc>
          <w:tcPr>
            <w:tcW w:w="1418" w:type="dxa"/>
            <w:shd w:val="clear" w:color="auto" w:fill="0074BF"/>
            <w:vAlign w:val="center"/>
          </w:tcPr>
          <w:p w:rsidR="00FC0D13" w:rsidRPr="001861C5" w:rsidRDefault="00FC0D13" w:rsidP="00FC0D13">
            <w:pPr>
              <w:pStyle w:val="NormalIndent"/>
              <w:ind w:left="0"/>
              <w:jc w:val="center"/>
              <w:rPr>
                <w:b/>
                <w:color w:val="FFFFFF" w:themeColor="background1"/>
              </w:rPr>
            </w:pPr>
            <w:r w:rsidRPr="001861C5">
              <w:rPr>
                <w:b/>
                <w:color w:val="FFFFFF" w:themeColor="background1"/>
              </w:rPr>
              <w:t>Population</w:t>
            </w:r>
          </w:p>
        </w:tc>
        <w:tc>
          <w:tcPr>
            <w:tcW w:w="2834" w:type="dxa"/>
            <w:shd w:val="clear" w:color="auto" w:fill="0074BF"/>
            <w:vAlign w:val="center"/>
          </w:tcPr>
          <w:p w:rsidR="00FC0D13" w:rsidRPr="001861C5" w:rsidRDefault="00FC0D13" w:rsidP="00FC0D13">
            <w:pPr>
              <w:pStyle w:val="NormalIndent"/>
              <w:ind w:left="0"/>
              <w:jc w:val="center"/>
              <w:rPr>
                <w:b/>
                <w:color w:val="FFFFFF" w:themeColor="background1"/>
              </w:rPr>
            </w:pPr>
            <w:r w:rsidRPr="001861C5">
              <w:rPr>
                <w:b/>
                <w:color w:val="FFFFFF" w:themeColor="background1"/>
              </w:rPr>
              <w:t>Percentage of Total Population</w:t>
            </w:r>
          </w:p>
        </w:tc>
      </w:tr>
      <w:tr w:rsidR="00FC0D13" w:rsidTr="00FC0D13">
        <w:trPr>
          <w:jc w:val="center"/>
        </w:trPr>
        <w:tc>
          <w:tcPr>
            <w:tcW w:w="1563" w:type="dxa"/>
            <w:shd w:val="clear" w:color="auto" w:fill="E6EBEE"/>
          </w:tcPr>
          <w:p w:rsidR="00FC0D13" w:rsidRDefault="00FC0D13" w:rsidP="00FC0D13">
            <w:pPr>
              <w:pStyle w:val="NormalIndent"/>
              <w:ind w:left="0"/>
            </w:pPr>
            <w:r>
              <w:t>Honiara</w:t>
            </w:r>
          </w:p>
        </w:tc>
        <w:tc>
          <w:tcPr>
            <w:tcW w:w="1418" w:type="dxa"/>
            <w:shd w:val="clear" w:color="auto" w:fill="E6EBEE"/>
          </w:tcPr>
          <w:p w:rsidR="00FC0D13" w:rsidRDefault="00FC0D13" w:rsidP="00FC0D13">
            <w:pPr>
              <w:pStyle w:val="NormalIndent"/>
              <w:ind w:left="0"/>
              <w:jc w:val="center"/>
            </w:pPr>
            <w:r>
              <w:t>64,609</w:t>
            </w:r>
          </w:p>
        </w:tc>
        <w:tc>
          <w:tcPr>
            <w:tcW w:w="2834" w:type="dxa"/>
            <w:shd w:val="clear" w:color="auto" w:fill="E6EBEE"/>
          </w:tcPr>
          <w:p w:rsidR="00FC0D13" w:rsidRDefault="00FC0D13" w:rsidP="00FC0D13">
            <w:pPr>
              <w:pStyle w:val="NormalIndent"/>
              <w:ind w:left="0"/>
              <w:jc w:val="center"/>
            </w:pPr>
            <w:r>
              <w:t>13%</w:t>
            </w:r>
          </w:p>
        </w:tc>
      </w:tr>
      <w:tr w:rsidR="00FC0D13" w:rsidTr="00FC0D13">
        <w:trPr>
          <w:jc w:val="center"/>
        </w:trPr>
        <w:tc>
          <w:tcPr>
            <w:tcW w:w="1563" w:type="dxa"/>
            <w:shd w:val="clear" w:color="auto" w:fill="E6EBEE"/>
          </w:tcPr>
          <w:p w:rsidR="00FC0D13" w:rsidRDefault="00FC0D13" w:rsidP="00FC0D13">
            <w:pPr>
              <w:pStyle w:val="NormalIndent"/>
              <w:ind w:left="0"/>
            </w:pPr>
            <w:proofErr w:type="spellStart"/>
            <w:r>
              <w:t>Tandai</w:t>
            </w:r>
            <w:proofErr w:type="spellEnd"/>
          </w:p>
        </w:tc>
        <w:tc>
          <w:tcPr>
            <w:tcW w:w="1418" w:type="dxa"/>
            <w:shd w:val="clear" w:color="auto" w:fill="E6EBEE"/>
          </w:tcPr>
          <w:p w:rsidR="00FC0D13" w:rsidRDefault="00FC0D13" w:rsidP="00FC0D13">
            <w:pPr>
              <w:pStyle w:val="NormalIndent"/>
              <w:ind w:left="0"/>
              <w:jc w:val="center"/>
            </w:pPr>
            <w:r>
              <w:t>10,837</w:t>
            </w:r>
          </w:p>
        </w:tc>
        <w:tc>
          <w:tcPr>
            <w:tcW w:w="2834" w:type="dxa"/>
            <w:shd w:val="clear" w:color="auto" w:fill="E6EBEE"/>
          </w:tcPr>
          <w:p w:rsidR="00FC0D13" w:rsidRDefault="00FC0D13" w:rsidP="00FC0D13">
            <w:pPr>
              <w:pStyle w:val="NormalIndent"/>
              <w:ind w:left="0"/>
              <w:jc w:val="center"/>
            </w:pPr>
            <w:r>
              <w:t>2%</w:t>
            </w:r>
          </w:p>
        </w:tc>
      </w:tr>
      <w:tr w:rsidR="00FC0D13" w:rsidTr="00FC0D13">
        <w:trPr>
          <w:jc w:val="center"/>
        </w:trPr>
        <w:tc>
          <w:tcPr>
            <w:tcW w:w="1563" w:type="dxa"/>
            <w:shd w:val="clear" w:color="auto" w:fill="E6EBEE"/>
          </w:tcPr>
          <w:p w:rsidR="00FC0D13" w:rsidRDefault="00FC0D13" w:rsidP="00FC0D13">
            <w:pPr>
              <w:pStyle w:val="NormalIndent"/>
              <w:ind w:left="0"/>
            </w:pPr>
            <w:proofErr w:type="spellStart"/>
            <w:r>
              <w:t>Auki</w:t>
            </w:r>
            <w:proofErr w:type="spellEnd"/>
          </w:p>
        </w:tc>
        <w:tc>
          <w:tcPr>
            <w:tcW w:w="1418" w:type="dxa"/>
            <w:shd w:val="clear" w:color="auto" w:fill="E6EBEE"/>
          </w:tcPr>
          <w:p w:rsidR="00FC0D13" w:rsidRDefault="00FC0D13" w:rsidP="00FC0D13">
            <w:pPr>
              <w:pStyle w:val="NormalIndent"/>
              <w:ind w:left="0"/>
              <w:jc w:val="center"/>
            </w:pPr>
            <w:r>
              <w:t>5,105</w:t>
            </w:r>
          </w:p>
        </w:tc>
        <w:tc>
          <w:tcPr>
            <w:tcW w:w="2834" w:type="dxa"/>
            <w:shd w:val="clear" w:color="auto" w:fill="E6EBEE"/>
          </w:tcPr>
          <w:p w:rsidR="00FC0D13" w:rsidRDefault="00FC0D13" w:rsidP="00FC0D13">
            <w:pPr>
              <w:pStyle w:val="NormalIndent"/>
              <w:ind w:left="0"/>
              <w:jc w:val="center"/>
            </w:pPr>
            <w:r>
              <w:t>1%</w:t>
            </w:r>
          </w:p>
        </w:tc>
      </w:tr>
      <w:tr w:rsidR="00FC0D13" w:rsidTr="00FC0D13">
        <w:trPr>
          <w:jc w:val="center"/>
        </w:trPr>
        <w:tc>
          <w:tcPr>
            <w:tcW w:w="1563" w:type="dxa"/>
            <w:shd w:val="clear" w:color="auto" w:fill="E6EBEE"/>
          </w:tcPr>
          <w:p w:rsidR="00FC0D13" w:rsidRDefault="00FC0D13" w:rsidP="00FC0D13">
            <w:pPr>
              <w:pStyle w:val="NormalIndent"/>
              <w:ind w:left="0"/>
            </w:pPr>
            <w:proofErr w:type="spellStart"/>
            <w:r>
              <w:t>Malango</w:t>
            </w:r>
            <w:proofErr w:type="spellEnd"/>
          </w:p>
        </w:tc>
        <w:tc>
          <w:tcPr>
            <w:tcW w:w="1418" w:type="dxa"/>
            <w:shd w:val="clear" w:color="auto" w:fill="E6EBEE"/>
          </w:tcPr>
          <w:p w:rsidR="00FC0D13" w:rsidRDefault="00FC0D13" w:rsidP="00FC0D13">
            <w:pPr>
              <w:pStyle w:val="NormalIndent"/>
              <w:ind w:left="0"/>
              <w:jc w:val="center"/>
            </w:pPr>
            <w:r>
              <w:t>4,636</w:t>
            </w:r>
          </w:p>
        </w:tc>
        <w:tc>
          <w:tcPr>
            <w:tcW w:w="2834" w:type="dxa"/>
            <w:shd w:val="clear" w:color="auto" w:fill="E6EBEE"/>
          </w:tcPr>
          <w:p w:rsidR="00FC0D13" w:rsidRDefault="00FC0D13" w:rsidP="00FC0D13">
            <w:pPr>
              <w:pStyle w:val="NormalIndent"/>
              <w:ind w:left="0"/>
              <w:jc w:val="center"/>
            </w:pPr>
            <w:r>
              <w:t>0.9%</w:t>
            </w:r>
          </w:p>
        </w:tc>
      </w:tr>
      <w:tr w:rsidR="00FC0D13" w:rsidTr="00FC0D13">
        <w:trPr>
          <w:jc w:val="center"/>
        </w:trPr>
        <w:tc>
          <w:tcPr>
            <w:tcW w:w="1563" w:type="dxa"/>
            <w:shd w:val="clear" w:color="auto" w:fill="E6EBEE"/>
          </w:tcPr>
          <w:p w:rsidR="00FC0D13" w:rsidRDefault="00FC0D13" w:rsidP="00FC0D13">
            <w:pPr>
              <w:pStyle w:val="NormalIndent"/>
              <w:ind w:left="0"/>
            </w:pPr>
            <w:proofErr w:type="spellStart"/>
            <w:r>
              <w:t>Gizo</w:t>
            </w:r>
            <w:proofErr w:type="spellEnd"/>
          </w:p>
        </w:tc>
        <w:tc>
          <w:tcPr>
            <w:tcW w:w="1418" w:type="dxa"/>
            <w:shd w:val="clear" w:color="auto" w:fill="E6EBEE"/>
          </w:tcPr>
          <w:p w:rsidR="00FC0D13" w:rsidRDefault="00FC0D13" w:rsidP="00FC0D13">
            <w:pPr>
              <w:pStyle w:val="NormalIndent"/>
              <w:ind w:left="0"/>
              <w:jc w:val="center"/>
            </w:pPr>
            <w:r>
              <w:t>3,547</w:t>
            </w:r>
          </w:p>
        </w:tc>
        <w:tc>
          <w:tcPr>
            <w:tcW w:w="2834" w:type="dxa"/>
            <w:shd w:val="clear" w:color="auto" w:fill="E6EBEE"/>
          </w:tcPr>
          <w:p w:rsidR="00FC0D13" w:rsidRDefault="00FC0D13" w:rsidP="00FC0D13">
            <w:pPr>
              <w:pStyle w:val="NormalIndent"/>
              <w:ind w:left="0"/>
              <w:jc w:val="center"/>
            </w:pPr>
            <w:r>
              <w:t>0.7%</w:t>
            </w:r>
          </w:p>
        </w:tc>
      </w:tr>
      <w:tr w:rsidR="00FC0D13" w:rsidTr="00FC0D13">
        <w:trPr>
          <w:jc w:val="center"/>
        </w:trPr>
        <w:tc>
          <w:tcPr>
            <w:tcW w:w="1563" w:type="dxa"/>
            <w:shd w:val="clear" w:color="auto" w:fill="E6EBEE"/>
          </w:tcPr>
          <w:p w:rsidR="00FC0D13" w:rsidRDefault="00FC0D13" w:rsidP="00FC0D13">
            <w:pPr>
              <w:pStyle w:val="NormalIndent"/>
              <w:ind w:left="0"/>
            </w:pPr>
            <w:proofErr w:type="spellStart"/>
            <w:r>
              <w:t>Noro</w:t>
            </w:r>
            <w:proofErr w:type="spellEnd"/>
          </w:p>
        </w:tc>
        <w:tc>
          <w:tcPr>
            <w:tcW w:w="1418" w:type="dxa"/>
            <w:shd w:val="clear" w:color="auto" w:fill="E6EBEE"/>
          </w:tcPr>
          <w:p w:rsidR="00FC0D13" w:rsidRDefault="00FC0D13" w:rsidP="00FC0D13">
            <w:pPr>
              <w:pStyle w:val="NormalIndent"/>
              <w:ind w:left="0"/>
              <w:jc w:val="center"/>
            </w:pPr>
            <w:r>
              <w:t>3,365</w:t>
            </w:r>
          </w:p>
        </w:tc>
        <w:tc>
          <w:tcPr>
            <w:tcW w:w="2834" w:type="dxa"/>
            <w:shd w:val="clear" w:color="auto" w:fill="E6EBEE"/>
          </w:tcPr>
          <w:p w:rsidR="00FC0D13" w:rsidRDefault="00FC0D13" w:rsidP="00FC0D13">
            <w:pPr>
              <w:pStyle w:val="NormalIndent"/>
              <w:ind w:left="0"/>
              <w:jc w:val="center"/>
            </w:pPr>
            <w:r>
              <w:t>0.7%</w:t>
            </w:r>
          </w:p>
        </w:tc>
      </w:tr>
    </w:tbl>
    <w:p w:rsidR="00FC0D13" w:rsidRDefault="00FC0D13" w:rsidP="00FC0D13">
      <w:pPr>
        <w:pStyle w:val="NormalIndent"/>
      </w:pPr>
      <w:r>
        <w:t xml:space="preserve">Studies of Honiara and </w:t>
      </w:r>
      <w:proofErr w:type="spellStart"/>
      <w:r>
        <w:t>Gizo</w:t>
      </w:r>
      <w:proofErr w:type="spellEnd"/>
      <w:r>
        <w:t xml:space="preserve">, conducted by the United Nations </w:t>
      </w:r>
      <w:r w:rsidRPr="001B5244">
        <w:t>Human Settlements Programme</w:t>
      </w:r>
      <w:r>
        <w:t xml:space="preserve"> in 2012, found that 35% of Honiara's total population and 51% of </w:t>
      </w:r>
      <w:proofErr w:type="spellStart"/>
      <w:r>
        <w:t>Gizo's</w:t>
      </w:r>
      <w:proofErr w:type="spellEnd"/>
      <w:r>
        <w:t xml:space="preserve"> total population reside in informal settlements.</w:t>
      </w:r>
      <w:r>
        <w:rPr>
          <w:rStyle w:val="FootnoteReference"/>
        </w:rPr>
        <w:footnoteReference w:id="112"/>
      </w:r>
    </w:p>
    <w:p w:rsidR="00FC0D13" w:rsidRDefault="00FC0D13" w:rsidP="00FC0D13">
      <w:pPr>
        <w:pStyle w:val="NormalIndent"/>
      </w:pPr>
      <w:r>
        <w:t>In Honiara, 30 informal settlements are located within the town boundary (on public land), six of which have encroached on customary land.</w:t>
      </w:r>
      <w:r>
        <w:rPr>
          <w:rStyle w:val="FootnoteReference"/>
        </w:rPr>
        <w:footnoteReference w:id="113"/>
      </w:r>
      <w:r>
        <w:t xml:space="preserve"> In </w:t>
      </w:r>
      <w:proofErr w:type="spellStart"/>
      <w:r>
        <w:t>Gizo</w:t>
      </w:r>
      <w:proofErr w:type="spellEnd"/>
      <w:r>
        <w:t>, residents of informal settlements concentrate in four major locations, within and on the edge of public land.</w:t>
      </w:r>
      <w:r>
        <w:rPr>
          <w:rStyle w:val="FootnoteReference"/>
        </w:rPr>
        <w:footnoteReference w:id="114"/>
      </w:r>
      <w:r>
        <w:t xml:space="preserve"> The trend of informal settlements is said to be in part due to natural disasters, rising sea levels, population pressures, and water and agriculture difficulties.</w:t>
      </w:r>
      <w:r>
        <w:rPr>
          <w:rStyle w:val="FootnoteReference"/>
        </w:rPr>
        <w:footnoteReference w:id="115"/>
      </w:r>
    </w:p>
    <w:p w:rsidR="00FC0D13" w:rsidRPr="009D7B33" w:rsidRDefault="00FC0D13" w:rsidP="00FC0D13">
      <w:pPr>
        <w:pStyle w:val="AllensHeading3"/>
        <w:rPr>
          <w:b/>
        </w:rPr>
      </w:pPr>
      <w:r w:rsidRPr="009D7B33">
        <w:rPr>
          <w:b/>
        </w:rPr>
        <w:t>What kinds of tenure arrangements are in place in informal settlements?</w:t>
      </w:r>
    </w:p>
    <w:p w:rsidR="00FC0D13" w:rsidRDefault="00FC0D13" w:rsidP="00FC0D13">
      <w:pPr>
        <w:pStyle w:val="NormalIndent"/>
      </w:pPr>
      <w:r>
        <w:t>Most residents of informal settlements in Honiara lack any tenure security and often have no legal right to reside or work on the public land they occupy.</w:t>
      </w:r>
      <w:r>
        <w:rPr>
          <w:rStyle w:val="FootnoteReference"/>
        </w:rPr>
        <w:footnoteReference w:id="116"/>
      </w:r>
    </w:p>
    <w:p w:rsidR="00FC0D13" w:rsidRPr="00295476" w:rsidRDefault="00FC0D13" w:rsidP="00FC0D13">
      <w:pPr>
        <w:pStyle w:val="NormalIndent"/>
      </w:pPr>
      <w:r>
        <w:t>As identified in section </w:t>
      </w:r>
      <w:r>
        <w:fldChar w:fldCharType="begin"/>
      </w:r>
      <w:r>
        <w:instrText xml:space="preserve"> REF _Ref494104339 \r \h </w:instrText>
      </w:r>
      <w:r>
        <w:fldChar w:fldCharType="separate"/>
      </w:r>
      <w:r w:rsidR="006F1291">
        <w:t>2.1</w:t>
      </w:r>
      <w:r>
        <w:fldChar w:fldCharType="end"/>
      </w:r>
      <w:r>
        <w:t xml:space="preserve"> above, i</w:t>
      </w:r>
      <w:r w:rsidRPr="00295476">
        <w:t>n the 1970s, the Solomon Islands government introduced a temporary occupation licence for State land to attempt to control illegal settlement growth within urban centres. These licences permitted the construction of a temporary house while the resident was waiting for a formal subdivided plot. However, this system has broken down and is considered to be ineffective.</w:t>
      </w:r>
      <w:r w:rsidRPr="00295476">
        <w:rPr>
          <w:rStyle w:val="FootnoteReference"/>
        </w:rPr>
        <w:footnoteReference w:id="117"/>
      </w:r>
      <w:r w:rsidRPr="00295476">
        <w:t xml:space="preserve"> A 2006 survey of households in Temporary Housing Areas under the temporary occupation licence scheme noted that only 10 out of 3,000 households had a valid temporary occupation licence.</w:t>
      </w:r>
      <w:r w:rsidRPr="00295476">
        <w:rPr>
          <w:rStyle w:val="FootnoteReference"/>
        </w:rPr>
        <w:footnoteReference w:id="118"/>
      </w:r>
    </w:p>
    <w:p w:rsidR="00FC0D13" w:rsidRDefault="00FC0D13" w:rsidP="00FC0D13">
      <w:pPr>
        <w:pStyle w:val="NormalIndent"/>
      </w:pPr>
      <w:r w:rsidRPr="00295476">
        <w:lastRenderedPageBreak/>
        <w:t xml:space="preserve">Following the displacement of people in Honiara by Cyclone </w:t>
      </w:r>
      <w:proofErr w:type="spellStart"/>
      <w:r w:rsidRPr="00295476">
        <w:t>Ita</w:t>
      </w:r>
      <w:proofErr w:type="spellEnd"/>
      <w:r w:rsidRPr="00295476">
        <w:t xml:space="preserve"> in 2014, the government attempted to create a new housing subdivision for the displaced people in an area not at</w:t>
      </w:r>
      <w:r>
        <w:t xml:space="preserve"> risk of flooding. The task of finding secure land for resettlement purposes is complex, as land is scarce and tenure can be uncertain, due to disputes regarding the alienation of land during the time of the British Protectorate and intra-clan access disputes in relation to customary land. Illegal squatting may be a more economically rational option for many displaced persons, as even if secure tenure in the form of an estate is available, the costs of registration, annual land rental and council rates may be beyond the means of many people.</w:t>
      </w:r>
      <w:r>
        <w:rPr>
          <w:rStyle w:val="FootnoteReference"/>
        </w:rPr>
        <w:footnoteReference w:id="119"/>
      </w:r>
    </w:p>
    <w:p w:rsidR="00FC0D13" w:rsidRPr="00555BCE" w:rsidRDefault="00FC0D13" w:rsidP="00FC0D13">
      <w:pPr>
        <w:pStyle w:val="AllensHeading1"/>
      </w:pPr>
      <w:bookmarkStart w:id="73" w:name="Security_of_Tenure"/>
      <w:bookmarkStart w:id="74" w:name="_Toc513116825"/>
      <w:r>
        <w:t xml:space="preserve">Security of Tenure </w:t>
      </w:r>
      <w:bookmarkEnd w:id="73"/>
      <w:r>
        <w:t>of Vulnerable Groups</w:t>
      </w:r>
      <w:bookmarkEnd w:id="74"/>
    </w:p>
    <w:p w:rsidR="00FC0D13" w:rsidRDefault="00FC0D13" w:rsidP="00FC0D13">
      <w:pPr>
        <w:pStyle w:val="AllensHeading2"/>
      </w:pPr>
      <w:bookmarkStart w:id="75" w:name="_Toc513116826"/>
      <w:bookmarkStart w:id="76" w:name="Women"/>
      <w:r>
        <w:t>Women</w:t>
      </w:r>
      <w:bookmarkEnd w:id="75"/>
    </w:p>
    <w:bookmarkEnd w:id="76"/>
    <w:p w:rsidR="00FC0D13" w:rsidRPr="009D7B33" w:rsidRDefault="00FC0D13" w:rsidP="00FC0D13">
      <w:pPr>
        <w:pStyle w:val="AllensHeading3"/>
        <w:rPr>
          <w:b/>
        </w:rPr>
      </w:pPr>
      <w:r w:rsidRPr="009D7B33">
        <w:rPr>
          <w:b/>
        </w:rPr>
        <w:t>Can women legally own, rent or inherit land and housing?</w:t>
      </w:r>
    </w:p>
    <w:p w:rsidR="00FC0D13" w:rsidRPr="009D7B33" w:rsidRDefault="00FC0D13" w:rsidP="00FC0D13">
      <w:pPr>
        <w:pStyle w:val="AllensHeading3"/>
        <w:rPr>
          <w:b/>
        </w:rPr>
      </w:pPr>
      <w:r w:rsidRPr="009D7B33">
        <w:rPr>
          <w:b/>
        </w:rPr>
        <w:t>In practice, do they? If not, why not?</w:t>
      </w:r>
    </w:p>
    <w:p w:rsidR="00FC0D13" w:rsidRPr="003C01D5" w:rsidRDefault="00FC0D13" w:rsidP="00FC0D13">
      <w:pPr>
        <w:pStyle w:val="NormalIndent"/>
      </w:pPr>
      <w:r>
        <w:t>Solomon Islands</w:t>
      </w:r>
      <w:r w:rsidRPr="0068036E">
        <w:t xml:space="preserve"> law accords women equal legal rights, incl</w:t>
      </w:r>
      <w:r>
        <w:t>uding the right to own property;</w:t>
      </w:r>
      <w:r>
        <w:rPr>
          <w:rStyle w:val="FootnoteReference"/>
        </w:rPr>
        <w:footnoteReference w:id="120"/>
      </w:r>
      <w:r>
        <w:t xml:space="preserve"> however, 'c</w:t>
      </w:r>
      <w:r w:rsidRPr="006B78E6">
        <w:t>ustomary law is based on male domination and</w:t>
      </w:r>
      <w:r>
        <w:t>,</w:t>
      </w:r>
      <w:r w:rsidRPr="006B78E6">
        <w:t xml:space="preserve"> even in those parts of the Solomon Islands where title to land descends through matrilineal lines, land disputes are generally litigated by men</w:t>
      </w:r>
      <w:r>
        <w:t>'.</w:t>
      </w:r>
      <w:r>
        <w:rPr>
          <w:rStyle w:val="FootnoteReference"/>
        </w:rPr>
        <w:footnoteReference w:id="121"/>
      </w:r>
      <w:r>
        <w:t xml:space="preserve"> This conflict between law and custom is heightened by the fact that 87% of land is customary land. In 2010, the Land Registry estimated that, of the 5% of registered, non-public land, only 2% of land titles are registered to women, with 73% registered to men and 25% registered jointly between men and women.</w:t>
      </w:r>
      <w:r>
        <w:rPr>
          <w:rStyle w:val="FootnoteReference"/>
        </w:rPr>
        <w:footnoteReference w:id="122"/>
      </w:r>
      <w:r>
        <w:t xml:space="preserve"> A report by the International Finance Corporation found that women's land rights are frequently over-ridden and women are victims of non-transparent land allocation processes.</w:t>
      </w:r>
      <w:r>
        <w:rPr>
          <w:rStyle w:val="FootnoteReference"/>
        </w:rPr>
        <w:footnoteReference w:id="123"/>
      </w:r>
    </w:p>
    <w:p w:rsidR="00FC0D13" w:rsidRDefault="00FC0D13" w:rsidP="00FC0D13">
      <w:pPr>
        <w:pStyle w:val="NormalIndent"/>
      </w:pPr>
      <w:r w:rsidRPr="00A32E43">
        <w:t>In</w:t>
      </w:r>
      <w:r>
        <w:t xml:space="preserve"> 2014, the Solomon Islands government reported that there were over 91,000 households, 16% of which were headed by women (largely when there was no male spouse present).</w:t>
      </w:r>
      <w:r>
        <w:rPr>
          <w:rStyle w:val="FootnoteReference"/>
        </w:rPr>
        <w:footnoteReference w:id="124"/>
      </w:r>
      <w:r>
        <w:t xml:space="preserve"> However, as mentioned in </w:t>
      </w:r>
      <w:r w:rsidRPr="00203CA4">
        <w:t xml:space="preserve">section </w:t>
      </w:r>
      <w:hyperlink w:anchor="Sec_2_3_c_ii" w:history="1">
        <w:r w:rsidRPr="00203CA4">
          <w:rPr>
            <w:rStyle w:val="Hyperlink"/>
            <w:color w:val="auto"/>
            <w:u w:val="none"/>
          </w:rPr>
          <w:t>2.3(c</w:t>
        </w:r>
        <w:proofErr w:type="gramStart"/>
        <w:r w:rsidRPr="00203CA4">
          <w:rPr>
            <w:rStyle w:val="Hyperlink"/>
            <w:color w:val="auto"/>
            <w:u w:val="none"/>
          </w:rPr>
          <w:t>)(</w:t>
        </w:r>
        <w:proofErr w:type="gramEnd"/>
        <w:r w:rsidRPr="00203CA4">
          <w:rPr>
            <w:rStyle w:val="Hyperlink"/>
            <w:color w:val="auto"/>
            <w:u w:val="none"/>
          </w:rPr>
          <w:t>ii)</w:t>
        </w:r>
      </w:hyperlink>
      <w:r w:rsidRPr="00203CA4">
        <w:t xml:space="preserve"> a</w:t>
      </w:r>
      <w:r>
        <w:t>bove, customary land disputes in Solomon Islands are initially submitted to chiefs for resolution. The chiefs are male, and generally any witnesses and parties to the dispute are senior male leaders (although there may be a very small number of women leaders involv</w:t>
      </w:r>
      <w:r w:rsidRPr="00AB1B6F">
        <w:t>ed). It has been suggested that the adversarial nature of the court system, regular comparison of land disputes to warfare and the fact that decision makers at every level of adjudication are likel</w:t>
      </w:r>
      <w:r>
        <w:t>y to be male are impediments to the involvement of women in land disputes.</w:t>
      </w:r>
      <w:r>
        <w:rPr>
          <w:rStyle w:val="FootnoteReference"/>
        </w:rPr>
        <w:footnoteReference w:id="125"/>
      </w:r>
    </w:p>
    <w:p w:rsidR="00FC0D13" w:rsidRDefault="00FC0D13" w:rsidP="00FC0D13">
      <w:pPr>
        <w:pStyle w:val="NormalIndent"/>
      </w:pPr>
      <w:r>
        <w:t>For example, in Guadalcanal males are generally</w:t>
      </w:r>
      <w:r w:rsidRPr="0091182D">
        <w:t xml:space="preserve"> appointed spokesperson</w:t>
      </w:r>
      <w:r>
        <w:t xml:space="preserve">s for land-related matters, or if the decision affects an entire landowning group, the decision is made through a </w:t>
      </w:r>
      <w:r>
        <w:lastRenderedPageBreak/>
        <w:t>group of chiefs and elders.</w:t>
      </w:r>
      <w:r>
        <w:rPr>
          <w:rStyle w:val="FootnoteReference"/>
        </w:rPr>
        <w:footnoteReference w:id="126"/>
      </w:r>
      <w:r>
        <w:t xml:space="preserve"> It has been said that the lack of access to </w:t>
      </w:r>
      <w:r w:rsidRPr="00AB1B6F">
        <w:t>education</w:t>
      </w:r>
      <w:r>
        <w:t>,</w:t>
      </w:r>
      <w:r w:rsidRPr="00AB1B6F">
        <w:t xml:space="preserve"> as well as customs that women must not talk about land and must stand behind men when dealing with land, have meant that women do not manage land relations, even in the State legal system.</w:t>
      </w:r>
      <w:r w:rsidRPr="00AB1B6F">
        <w:rPr>
          <w:rStyle w:val="FootnoteReference"/>
        </w:rPr>
        <w:footnoteReference w:id="127"/>
      </w:r>
    </w:p>
    <w:p w:rsidR="00FC0D13" w:rsidRDefault="00FC0D13" w:rsidP="00FC0D13">
      <w:pPr>
        <w:pStyle w:val="NormalIndent"/>
      </w:pPr>
      <w:r>
        <w:t xml:space="preserve">In the past, women's knowledge of genealogies was highly respected in land matters; however, today any influence is </w:t>
      </w:r>
      <w:r w:rsidRPr="00CF7D22">
        <w:t>informal (</w:t>
      </w:r>
      <w:proofErr w:type="spellStart"/>
      <w:r>
        <w:t>eg</w:t>
      </w:r>
      <w:proofErr w:type="spellEnd"/>
      <w:r>
        <w:t>, through household conversations). This change has been linked to attempts to reconcile customary land tenure with the State legal system (the latter of which does not recognise 'behind the scenes' opportunities women previously had to influence decision making), and wom</w:t>
      </w:r>
      <w:r w:rsidRPr="00A32E43">
        <w:t>en do not have the education, authority or confidence to speak openly in the State legal system.</w:t>
      </w:r>
      <w:r w:rsidRPr="00A32E43">
        <w:rPr>
          <w:rStyle w:val="FootnoteReference"/>
        </w:rPr>
        <w:footnoteReference w:id="128"/>
      </w:r>
    </w:p>
    <w:p w:rsidR="00FC0D13" w:rsidRDefault="00FC0D13" w:rsidP="00FC0D13">
      <w:pPr>
        <w:pStyle w:val="NormalIndent"/>
      </w:pPr>
      <w:r>
        <w:t>With the ongoing trend towards</w:t>
      </w:r>
      <w:r w:rsidRPr="00524387">
        <w:t xml:space="preserve"> urbanisation in Guadalcanal, subdivided land may increasingly be held by families and handed down from father to son rather than held by a tribe and handed down the matrilineal line.</w:t>
      </w:r>
      <w:r w:rsidRPr="00524387">
        <w:rPr>
          <w:rStyle w:val="FootnoteReference"/>
        </w:rPr>
        <w:footnoteReference w:id="129"/>
      </w:r>
      <w:r w:rsidRPr="00524387">
        <w:t xml:space="preserve"> </w:t>
      </w:r>
      <w:r>
        <w:t xml:space="preserve">While non-Solomon Islanders </w:t>
      </w:r>
      <w:proofErr w:type="gramStart"/>
      <w:r>
        <w:t>do</w:t>
      </w:r>
      <w:proofErr w:type="gramEnd"/>
      <w:r>
        <w:t xml:space="preserve"> not generally have any access rights to customary land, intermarriage may provide some access. For example, should a migrant male marry a Guadalcanal woman, their children will have customary land rights through their mother's tribe. However, if a migrant woman marries a Guadalcanal man, the children's future rights will be determined through traditional dealings by the father (such as the exchange of goods and feasting).</w:t>
      </w:r>
      <w:r>
        <w:rPr>
          <w:rStyle w:val="FootnoteReference"/>
        </w:rPr>
        <w:footnoteReference w:id="130"/>
      </w:r>
    </w:p>
    <w:p w:rsidR="00FC0D13" w:rsidRDefault="00FC0D13" w:rsidP="00FC0D13">
      <w:pPr>
        <w:pStyle w:val="AllensHeading2"/>
      </w:pPr>
      <w:bookmarkStart w:id="77" w:name="_Toc513116827"/>
      <w:r>
        <w:t>Indigenous groups</w:t>
      </w:r>
      <w:bookmarkEnd w:id="77"/>
    </w:p>
    <w:p w:rsidR="00FC0D13" w:rsidRPr="009D7B33" w:rsidRDefault="00FC0D13" w:rsidP="00FC0D13">
      <w:pPr>
        <w:pStyle w:val="AllensHeading3"/>
        <w:rPr>
          <w:b/>
        </w:rPr>
      </w:pPr>
      <w:r w:rsidRPr="009D7B33">
        <w:rPr>
          <w:b/>
        </w:rPr>
        <w:t>Is indigenous customary ownership (or custodianship) of land legally recognised?</w:t>
      </w:r>
    </w:p>
    <w:p w:rsidR="00FC0D13" w:rsidRPr="009D7B33" w:rsidRDefault="00FC0D13" w:rsidP="00FC0D13">
      <w:pPr>
        <w:pStyle w:val="AllensHeading3"/>
        <w:rPr>
          <w:b/>
        </w:rPr>
      </w:pPr>
      <w:r w:rsidRPr="009D7B33">
        <w:rPr>
          <w:b/>
        </w:rPr>
        <w:t>Does customary ownership provide indigenous people with a high degree of security of tenure?</w:t>
      </w:r>
    </w:p>
    <w:p w:rsidR="00FC0D13" w:rsidRPr="009D7B33" w:rsidRDefault="00FC0D13" w:rsidP="00FC0D13">
      <w:pPr>
        <w:pStyle w:val="AllensHeading3"/>
        <w:rPr>
          <w:b/>
        </w:rPr>
      </w:pPr>
      <w:r w:rsidRPr="009D7B33">
        <w:rPr>
          <w:b/>
        </w:rPr>
        <w:t>If not, what are the barriers to indigenous people owning and/or living on their land?</w:t>
      </w:r>
    </w:p>
    <w:p w:rsidR="00FC0D13" w:rsidRPr="0091182D" w:rsidRDefault="00FC0D13" w:rsidP="00FC0D13">
      <w:pPr>
        <w:ind w:left="709"/>
        <w:jc w:val="both"/>
      </w:pPr>
      <w:r>
        <w:t>After achieving independence, the government</w:t>
      </w:r>
      <w:r w:rsidRPr="0091182D">
        <w:t xml:space="preserve"> introduced compulsory tenure conversion that </w:t>
      </w:r>
      <w:r>
        <w:t xml:space="preserve">applied to </w:t>
      </w:r>
      <w:r w:rsidRPr="0091182D">
        <w:t>estates held by Solomon Islanders and foreigners.</w:t>
      </w:r>
      <w:r>
        <w:rPr>
          <w:rStyle w:val="FootnoteReference"/>
        </w:rPr>
        <w:footnoteReference w:id="131"/>
      </w:r>
      <w:r w:rsidRPr="0091182D">
        <w:t xml:space="preserve"> </w:t>
      </w:r>
      <w:r>
        <w:t>As noted above in sections </w:t>
      </w:r>
      <w:r>
        <w:fldChar w:fldCharType="begin"/>
      </w:r>
      <w:r>
        <w:instrText xml:space="preserve"> REF _Ref472597251 \w \h </w:instrText>
      </w:r>
      <w:r>
        <w:fldChar w:fldCharType="separate"/>
      </w:r>
      <w:r w:rsidR="006F1291">
        <w:t>2.3(c)</w:t>
      </w:r>
      <w:r>
        <w:fldChar w:fldCharType="end"/>
      </w:r>
      <w:r>
        <w:t xml:space="preserve">, </w:t>
      </w:r>
      <w:r w:rsidRPr="0091182D">
        <w:t>customary land is not</w:t>
      </w:r>
      <w:r>
        <w:t xml:space="preserve"> considered</w:t>
      </w:r>
      <w:r w:rsidRPr="0091182D">
        <w:t xml:space="preserve"> alienable and only </w:t>
      </w:r>
      <w:r>
        <w:t>Solomon Islanders</w:t>
      </w:r>
      <w:r w:rsidRPr="0091182D">
        <w:t xml:space="preserve"> are able</w:t>
      </w:r>
      <w:r>
        <w:t xml:space="preserve"> to be granted perpetual estates, demonstrating the effort of the government to keep land ownership rights with indigenous Solomon Islands people.</w:t>
      </w:r>
    </w:p>
    <w:p w:rsidR="00FC0D13" w:rsidRDefault="00FC0D13" w:rsidP="00FC0D13">
      <w:pPr>
        <w:pStyle w:val="AllensHeading2"/>
      </w:pPr>
      <w:bookmarkStart w:id="78" w:name="_Toc513116828"/>
      <w:bookmarkStart w:id="79" w:name="Minority_groups"/>
      <w:r>
        <w:t>Minority groups</w:t>
      </w:r>
      <w:bookmarkEnd w:id="78"/>
    </w:p>
    <w:bookmarkEnd w:id="79"/>
    <w:p w:rsidR="00FC0D13" w:rsidRPr="009D7B33" w:rsidRDefault="00FC0D13" w:rsidP="00FC0D13">
      <w:pPr>
        <w:pStyle w:val="AllensHeading3"/>
        <w:rPr>
          <w:b/>
        </w:rPr>
      </w:pPr>
      <w:r w:rsidRPr="009D7B33">
        <w:rPr>
          <w:b/>
        </w:rPr>
        <w:t>Can minority groups (</w:t>
      </w:r>
      <w:proofErr w:type="spellStart"/>
      <w:r w:rsidRPr="009D7B33">
        <w:rPr>
          <w:b/>
        </w:rPr>
        <w:t>ie</w:t>
      </w:r>
      <w:proofErr w:type="spellEnd"/>
      <w:r w:rsidRPr="009D7B33">
        <w:rPr>
          <w:b/>
        </w:rPr>
        <w:t xml:space="preserve">, ethnic minorities, immigrants, </w:t>
      </w:r>
      <w:proofErr w:type="gramStart"/>
      <w:r w:rsidRPr="009D7B33">
        <w:rPr>
          <w:b/>
        </w:rPr>
        <w:t>stateless</w:t>
      </w:r>
      <w:proofErr w:type="gramEnd"/>
      <w:r w:rsidRPr="009D7B33">
        <w:rPr>
          <w:b/>
        </w:rPr>
        <w:t xml:space="preserve"> people) legally own and/or rent land and housing?</w:t>
      </w:r>
    </w:p>
    <w:p w:rsidR="00FC0D13" w:rsidRPr="009D7B33" w:rsidRDefault="00FC0D13" w:rsidP="00FC0D13">
      <w:pPr>
        <w:pStyle w:val="AllensHeading3"/>
        <w:rPr>
          <w:b/>
        </w:rPr>
      </w:pPr>
      <w:r w:rsidRPr="009D7B33">
        <w:rPr>
          <w:b/>
        </w:rPr>
        <w:t>If so, are they subject to special conditions or restrictions?</w:t>
      </w:r>
    </w:p>
    <w:p w:rsidR="00FC0D13" w:rsidRDefault="00FC0D13" w:rsidP="00FC0D13">
      <w:pPr>
        <w:pStyle w:val="NormalIndent"/>
      </w:pPr>
      <w:r>
        <w:t xml:space="preserve">Solomon Islands </w:t>
      </w:r>
      <w:proofErr w:type="gramStart"/>
      <w:r>
        <w:t>is</w:t>
      </w:r>
      <w:proofErr w:type="gramEnd"/>
      <w:r>
        <w:t xml:space="preserve"> </w:t>
      </w:r>
      <w:r w:rsidRPr="00EF29FB">
        <w:t>95.3%</w:t>
      </w:r>
      <w:r>
        <w:t xml:space="preserve"> Melanesian</w:t>
      </w:r>
      <w:r w:rsidRPr="00EF29FB">
        <w:t>, 3.1%</w:t>
      </w:r>
      <w:r>
        <w:t xml:space="preserve"> P</w:t>
      </w:r>
      <w:r w:rsidRPr="00EF29FB">
        <w:t xml:space="preserve">olynesian, </w:t>
      </w:r>
      <w:r>
        <w:t>1.2% Micronesian and</w:t>
      </w:r>
      <w:r w:rsidRPr="00EF29FB">
        <w:t xml:space="preserve"> 0.3%</w:t>
      </w:r>
      <w:r>
        <w:t xml:space="preserve"> 'other';</w:t>
      </w:r>
      <w:r>
        <w:rPr>
          <w:rStyle w:val="FootnoteReference"/>
        </w:rPr>
        <w:footnoteReference w:id="132"/>
      </w:r>
      <w:r>
        <w:t xml:space="preserve"> however, Solomon Islanders often associate first with their family, clan, or tribe rather than as </w:t>
      </w:r>
      <w:r>
        <w:lastRenderedPageBreak/>
        <w:t>Solomon Islanders or Melanesians more generally. This ethnic diversity played a significant part in the Solomon Islands' civil 'tensions' at the turn of the 21</w:t>
      </w:r>
      <w:r w:rsidRPr="0083711C">
        <w:rPr>
          <w:vertAlign w:val="superscript"/>
        </w:rPr>
        <w:t>st</w:t>
      </w:r>
      <w:r>
        <w:t xml:space="preserve"> century.</w:t>
      </w:r>
    </w:p>
    <w:p w:rsidR="00FC0D13" w:rsidRDefault="00FC0D13" w:rsidP="00FC0D13">
      <w:pPr>
        <w:pStyle w:val="NormalIndent"/>
      </w:pPr>
      <w:r>
        <w:t>As discussed above, only Solomon Islanders can own perpetual estates. No information has been identified to indicate how minority groups' ability to rent or own land occurs in practice.</w:t>
      </w:r>
    </w:p>
    <w:p w:rsidR="00FC0D13" w:rsidRDefault="00FC0D13">
      <w:pPr>
        <w:spacing w:before="0" w:after="200" w:line="276" w:lineRule="auto"/>
      </w:pPr>
      <w:r>
        <w:br w:type="page"/>
      </w:r>
    </w:p>
    <w:p w:rsidR="00FC0D13" w:rsidRPr="00DC4E73" w:rsidRDefault="00FC0D13" w:rsidP="00FC0D13">
      <w:pPr>
        <w:pStyle w:val="AllensHeading2"/>
      </w:pPr>
      <w:bookmarkStart w:id="80" w:name="Landless_People"/>
      <w:bookmarkStart w:id="81" w:name="_Toc492490197"/>
      <w:bookmarkStart w:id="82" w:name="_Toc513116829"/>
      <w:r w:rsidRPr="00DC4E73">
        <w:lastRenderedPageBreak/>
        <w:t>Landless People</w:t>
      </w:r>
      <w:r>
        <w:t xml:space="preserve"> </w:t>
      </w:r>
      <w:bookmarkEnd w:id="80"/>
      <w:r>
        <w:t>and Squatters</w:t>
      </w:r>
      <w:bookmarkEnd w:id="81"/>
      <w:bookmarkEnd w:id="82"/>
    </w:p>
    <w:p w:rsidR="00FC0D13" w:rsidRPr="009D7B33" w:rsidRDefault="00FC0D13" w:rsidP="00FC0D13">
      <w:pPr>
        <w:pStyle w:val="AllensHeading3"/>
        <w:rPr>
          <w:b/>
        </w:rPr>
      </w:pPr>
      <w:r w:rsidRPr="009D7B33">
        <w:rPr>
          <w:b/>
        </w:rPr>
        <w:t>Do landless people/squatters have rights to land and/or housing (</w:t>
      </w:r>
      <w:proofErr w:type="spellStart"/>
      <w:r w:rsidRPr="009D7B33">
        <w:rPr>
          <w:b/>
        </w:rPr>
        <w:t>eg</w:t>
      </w:r>
      <w:proofErr w:type="spellEnd"/>
      <w:r w:rsidRPr="009D7B33">
        <w:rPr>
          <w:b/>
        </w:rPr>
        <w:t>, adverse possession)? If so, are those rights respected?</w:t>
      </w:r>
    </w:p>
    <w:p w:rsidR="00FC0D13" w:rsidRDefault="00FC0D13" w:rsidP="00FC0D13">
      <w:pPr>
        <w:pStyle w:val="NormalIndent"/>
      </w:pPr>
      <w:r>
        <w:t>L</w:t>
      </w:r>
      <w:r w:rsidRPr="0091182D">
        <w:t>andless people</w:t>
      </w:r>
      <w:r>
        <w:t xml:space="preserve"> and</w:t>
      </w:r>
      <w:r w:rsidRPr="0091182D">
        <w:t xml:space="preserve"> squatters account for a significant</w:t>
      </w:r>
      <w:r>
        <w:t xml:space="preserve"> and increasing</w:t>
      </w:r>
      <w:r w:rsidRPr="0091182D">
        <w:t xml:space="preserve"> p</w:t>
      </w:r>
      <w:r>
        <w:t>ercentage of the population.</w:t>
      </w:r>
      <w:r w:rsidRPr="0091182D">
        <w:rPr>
          <w:vertAlign w:val="superscript"/>
        </w:rPr>
        <w:footnoteReference w:id="133"/>
      </w:r>
      <w:r w:rsidRPr="0091182D">
        <w:t xml:space="preserve"> </w:t>
      </w:r>
      <w:r>
        <w:t>Squatter settlement infrastructure is usually lacking, with</w:t>
      </w:r>
      <w:r w:rsidRPr="0091182D">
        <w:t xml:space="preserve"> services</w:t>
      </w:r>
      <w:r>
        <w:t xml:space="preserve"> such</w:t>
      </w:r>
      <w:r w:rsidRPr="0091182D">
        <w:t xml:space="preserve"> </w:t>
      </w:r>
      <w:r>
        <w:t>as</w:t>
      </w:r>
      <w:r w:rsidRPr="0091182D">
        <w:t xml:space="preserve"> drainage, sanitation and road access</w:t>
      </w:r>
      <w:r>
        <w:t xml:space="preserve"> in Honiara settlements reported to be largely inadequate</w:t>
      </w:r>
      <w:r w:rsidRPr="0091182D">
        <w:t>.</w:t>
      </w:r>
      <w:r>
        <w:rPr>
          <w:rStyle w:val="FootnoteReference"/>
        </w:rPr>
        <w:footnoteReference w:id="134"/>
      </w:r>
      <w:r w:rsidRPr="0091182D">
        <w:t xml:space="preserve"> </w:t>
      </w:r>
      <w:r>
        <w:t>People have been rendered landless</w:t>
      </w:r>
      <w:r w:rsidRPr="0091182D">
        <w:t xml:space="preserve"> after being displaced by natural disasters.</w:t>
      </w:r>
      <w:r w:rsidRPr="0091182D">
        <w:rPr>
          <w:vertAlign w:val="superscript"/>
        </w:rPr>
        <w:footnoteReference w:id="135"/>
      </w:r>
      <w:r w:rsidRPr="0091182D">
        <w:t xml:space="preserve"> Generally,</w:t>
      </w:r>
      <w:r>
        <w:t xml:space="preserve"> displaced </w:t>
      </w:r>
      <w:r w:rsidRPr="0091182D">
        <w:t>people do not have rights to land or housing</w:t>
      </w:r>
      <w:r>
        <w:t>,</w:t>
      </w:r>
      <w:r w:rsidRPr="0091182D">
        <w:t xml:space="preserve"> and squatter settlements are often unwanted.</w:t>
      </w:r>
      <w:r>
        <w:rPr>
          <w:rStyle w:val="FootnoteReference"/>
        </w:rPr>
        <w:footnoteReference w:id="136"/>
      </w:r>
      <w:r w:rsidRPr="0091182D">
        <w:t xml:space="preserve"> </w:t>
      </w:r>
      <w:r>
        <w:t>Politicians and public servants reportedly have little interest in enforcing resettlement due to the risk of civil unrest or loss of political support.</w:t>
      </w:r>
      <w:r>
        <w:rPr>
          <w:rStyle w:val="FootnoteReference"/>
        </w:rPr>
        <w:footnoteReference w:id="137"/>
      </w:r>
    </w:p>
    <w:p w:rsidR="00FC0D13" w:rsidRDefault="00FC0D13" w:rsidP="00FC0D13">
      <w:pPr>
        <w:pStyle w:val="NormalIndent"/>
      </w:pPr>
      <w:r>
        <w:t xml:space="preserve">Adverse possession is formally recognised in Solomon Islands. Sections 224 and 225 of the </w:t>
      </w:r>
      <w:r w:rsidRPr="00FD2412">
        <w:rPr>
          <w:i/>
        </w:rPr>
        <w:t>Land and Titles Act</w:t>
      </w:r>
      <w:r w:rsidRPr="00EE6FCC">
        <w:t xml:space="preserve"> </w:t>
      </w:r>
      <w:r>
        <w:t>provide for acquisition of an estate or registered lease by peaceful, overt and uninterrupted adverse possession for a period of 12 years. However, these provisions do not apply to customary land, or to an estate or lease vested in or owned by the Commissioner of Lands or a local authority.</w:t>
      </w:r>
      <w:r>
        <w:rPr>
          <w:rStyle w:val="FootnoteReference"/>
        </w:rPr>
        <w:footnoteReference w:id="138"/>
      </w:r>
      <w:r>
        <w:t xml:space="preserve"> The extent of customary and public land in Solomon Islands means that there is limited opportunity to acquire land through adverse possession.</w:t>
      </w:r>
    </w:p>
    <w:p w:rsidR="00FC0D13" w:rsidRDefault="00FC0D13" w:rsidP="00FC0D13">
      <w:pPr>
        <w:pStyle w:val="NormalIndent"/>
      </w:pPr>
      <w:r>
        <w:t xml:space="preserve">The process for making an adverse possession claim is prescribed under section 225 of the </w:t>
      </w:r>
      <w:r w:rsidRPr="00FD2412">
        <w:rPr>
          <w:i/>
        </w:rPr>
        <w:t>Land and Titles Act</w:t>
      </w:r>
      <w:r>
        <w:t>. A successful application will result in the High Court issuing an order for the claimant to be registered as the owner.</w:t>
      </w:r>
      <w:r>
        <w:rPr>
          <w:rStyle w:val="FootnoteReference"/>
        </w:rPr>
        <w:footnoteReference w:id="139"/>
      </w:r>
    </w:p>
    <w:p w:rsidR="00FC0D13" w:rsidRDefault="00FC0D13" w:rsidP="00FC0D13">
      <w:pPr>
        <w:pStyle w:val="AllensHeading1"/>
      </w:pPr>
      <w:bookmarkStart w:id="83" w:name="_Toc513116830"/>
      <w:bookmarkStart w:id="84" w:name="Eviction_Expropriation_Relocation"/>
      <w:r>
        <w:t>Eviction, Expropriation and Relocation</w:t>
      </w:r>
      <w:bookmarkEnd w:id="83"/>
    </w:p>
    <w:p w:rsidR="00FC0D13" w:rsidRDefault="00FC0D13" w:rsidP="00FC0D13">
      <w:pPr>
        <w:pStyle w:val="AllensHeading2"/>
      </w:pPr>
      <w:bookmarkStart w:id="85" w:name="_Toc513116831"/>
      <w:bookmarkStart w:id="86" w:name="Eviction"/>
      <w:bookmarkStart w:id="87" w:name="_Ref468808235"/>
      <w:bookmarkEnd w:id="84"/>
      <w:r>
        <w:t>Eviction</w:t>
      </w:r>
      <w:bookmarkEnd w:id="85"/>
    </w:p>
    <w:bookmarkEnd w:id="86"/>
    <w:p w:rsidR="00FC0D13" w:rsidRPr="009D7B33" w:rsidRDefault="00FC0D13" w:rsidP="00FC0D13">
      <w:pPr>
        <w:pStyle w:val="AllensHeading3"/>
        <w:rPr>
          <w:rFonts w:eastAsiaTheme="minorHAnsi"/>
          <w:b/>
          <w:lang w:val="en-US" w:eastAsia="en-US"/>
        </w:rPr>
      </w:pPr>
      <w:r w:rsidRPr="009D7B33">
        <w:rPr>
          <w:rFonts w:eastAsiaTheme="minorHAnsi"/>
          <w:b/>
          <w:lang w:val="en-US" w:eastAsia="en-US"/>
        </w:rPr>
        <w:t>Are there laws or regulations prohibiting forced evictions?</w:t>
      </w:r>
    </w:p>
    <w:p w:rsidR="00FC0D13" w:rsidRPr="009D7B33" w:rsidRDefault="00FC0D13" w:rsidP="00FC0D13">
      <w:pPr>
        <w:pStyle w:val="AllensHeading3"/>
        <w:rPr>
          <w:rFonts w:eastAsiaTheme="minorHAnsi"/>
          <w:b/>
          <w:lang w:val="en-US" w:eastAsia="en-US"/>
        </w:rPr>
      </w:pPr>
      <w:r w:rsidRPr="009D7B33">
        <w:rPr>
          <w:rFonts w:eastAsiaTheme="minorHAnsi"/>
          <w:b/>
          <w:lang w:val="en-US" w:eastAsia="en-US"/>
        </w:rPr>
        <w:t>In practice, are those laws adhered to?</w:t>
      </w:r>
    </w:p>
    <w:p w:rsidR="00FC0D13" w:rsidRDefault="00FC0D13" w:rsidP="00FC0D13">
      <w:pPr>
        <w:pStyle w:val="NormalIndent"/>
      </w:pPr>
      <w:r>
        <w:t xml:space="preserve">The </w:t>
      </w:r>
      <w:r w:rsidRPr="00DC0861">
        <w:rPr>
          <w:i/>
        </w:rPr>
        <w:t>Constitution</w:t>
      </w:r>
      <w:r>
        <w:t xml:space="preserve"> prohibits compulsorily taking possession of or compulsorily acquiring an interest in property except where such acquisition is made for a public purpose and is accompanied by reasonable compensation.</w:t>
      </w:r>
      <w:r>
        <w:rPr>
          <w:rStyle w:val="FootnoteReference"/>
        </w:rPr>
        <w:footnoteReference w:id="140"/>
      </w:r>
      <w:r>
        <w:t xml:space="preserve"> </w:t>
      </w:r>
    </w:p>
    <w:p w:rsidR="00FC0D13" w:rsidRDefault="00FC0D13" w:rsidP="00FC0D13">
      <w:pPr>
        <w:pStyle w:val="NormalIndent"/>
      </w:pPr>
      <w:r>
        <w:t xml:space="preserve">Despite the legal protections available, just before and during the civil war (1999-2003), the Guadalcanal Revolutionary Army forcibly evicted many migrant settlers on Guadalcanal, most of </w:t>
      </w:r>
      <w:proofErr w:type="gramStart"/>
      <w:r>
        <w:t>whom</w:t>
      </w:r>
      <w:proofErr w:type="gramEnd"/>
      <w:r>
        <w:t xml:space="preserve"> were Solomon Islanders from </w:t>
      </w:r>
      <w:proofErr w:type="spellStart"/>
      <w:r>
        <w:t>Malaita</w:t>
      </w:r>
      <w:proofErr w:type="spellEnd"/>
      <w:r>
        <w:t xml:space="preserve">. By the end of 1999, an estimated 24,000 settlers had been evicted from rural areas, along with a further 10,000 from Honiara itself. </w:t>
      </w:r>
      <w:proofErr w:type="gramStart"/>
      <w:r>
        <w:t xml:space="preserve">A perceived </w:t>
      </w:r>
      <w:r>
        <w:lastRenderedPageBreak/>
        <w:t>lack of action by the Solomon Islands Government to resolve the problem lead to further civil unrest.</w:t>
      </w:r>
      <w:proofErr w:type="gramEnd"/>
      <w:r>
        <w:rPr>
          <w:rStyle w:val="FootnoteReference"/>
        </w:rPr>
        <w:footnoteReference w:id="141"/>
      </w:r>
      <w:r>
        <w:t xml:space="preserve"> It was reported in 2016 that the government has never forcibly removed people from squatter settlements in Honiara.</w:t>
      </w:r>
      <w:r>
        <w:rPr>
          <w:rStyle w:val="FootnoteReference"/>
        </w:rPr>
        <w:footnoteReference w:id="142"/>
      </w:r>
    </w:p>
    <w:p w:rsidR="00FC0D13" w:rsidRDefault="00FC0D13" w:rsidP="00FC0D13">
      <w:pPr>
        <w:pStyle w:val="NormalIndent"/>
      </w:pPr>
      <w:r>
        <w:t xml:space="preserve">Solomon Islands </w:t>
      </w:r>
      <w:proofErr w:type="gramStart"/>
      <w:r>
        <w:t>has</w:t>
      </w:r>
      <w:proofErr w:type="gramEnd"/>
      <w:r>
        <w:t xml:space="preserve"> ratified the International Covenant on Economic, Social and Cultural Rights and is therefore bound to Article 11(1) that recognises the human right to an adequate standard of living, including adequate housing.</w:t>
      </w:r>
      <w:r>
        <w:rPr>
          <w:rStyle w:val="FootnoteReference"/>
        </w:rPr>
        <w:footnoteReference w:id="143"/>
      </w:r>
      <w:r>
        <w:t xml:space="preserve"> However, a right to adequate housing has not been recognised in the </w:t>
      </w:r>
      <w:r w:rsidRPr="00DC0861">
        <w:rPr>
          <w:i/>
        </w:rPr>
        <w:t>Constitution</w:t>
      </w:r>
      <w:r>
        <w:t>.</w:t>
      </w:r>
    </w:p>
    <w:p w:rsidR="00FC0D13" w:rsidRDefault="00FC0D13" w:rsidP="00FC0D13">
      <w:pPr>
        <w:pStyle w:val="AllensHeading2"/>
      </w:pPr>
      <w:bookmarkStart w:id="88" w:name="_Toc513116832"/>
      <w:bookmarkStart w:id="89" w:name="Expropriation"/>
      <w:bookmarkEnd w:id="87"/>
      <w:r>
        <w:t>Expropriation</w:t>
      </w:r>
      <w:bookmarkEnd w:id="88"/>
    </w:p>
    <w:bookmarkEnd w:id="89"/>
    <w:p w:rsidR="00FC0D13" w:rsidRPr="009D7B33" w:rsidRDefault="00FC0D13" w:rsidP="00FC0D13">
      <w:pPr>
        <w:pStyle w:val="AllensHeading3"/>
        <w:rPr>
          <w:b/>
        </w:rPr>
      </w:pPr>
      <w:r w:rsidRPr="009D7B33">
        <w:rPr>
          <w:b/>
        </w:rPr>
        <w:t>Are there laws or regulations permitting the government to expropriate land?</w:t>
      </w:r>
    </w:p>
    <w:p w:rsidR="00FC0D13" w:rsidRPr="00B64675" w:rsidRDefault="00FC0D13" w:rsidP="00FC0D13">
      <w:pPr>
        <w:ind w:left="709"/>
        <w:jc w:val="both"/>
      </w:pPr>
      <w:r w:rsidRPr="008F08DC">
        <w:t>The Minister for Lands has the power to declare that any land is required for a 'public purpose'.</w:t>
      </w:r>
      <w:r w:rsidRPr="008F08DC">
        <w:rPr>
          <w:rStyle w:val="FootnoteReference"/>
        </w:rPr>
        <w:footnoteReference w:id="144"/>
      </w:r>
      <w:r w:rsidRPr="008F08DC">
        <w:t xml:space="preserve"> There is no definition of 'public purpose' and the decision</w:t>
      </w:r>
      <w:r>
        <w:t xml:space="preserve"> to take the land</w:t>
      </w:r>
      <w:r w:rsidRPr="008F08DC">
        <w:t xml:space="preserve"> may be appealed to the High Court.</w:t>
      </w:r>
      <w:r w:rsidRPr="008F08DC">
        <w:rPr>
          <w:rStyle w:val="FootnoteReference"/>
        </w:rPr>
        <w:footnoteReference w:id="145"/>
      </w:r>
    </w:p>
    <w:p w:rsidR="00FC0D13" w:rsidRPr="00B64675" w:rsidRDefault="00FC0D13" w:rsidP="00FC0D13">
      <w:pPr>
        <w:ind w:left="709"/>
        <w:jc w:val="both"/>
      </w:pPr>
      <w:r w:rsidRPr="00B64675">
        <w:t>Section 8(1</w:t>
      </w:r>
      <w:proofErr w:type="gramStart"/>
      <w:r w:rsidRPr="00B64675">
        <w:t>)(</w:t>
      </w:r>
      <w:proofErr w:type="gramEnd"/>
      <w:r w:rsidRPr="00B64675">
        <w:t>a)</w:t>
      </w:r>
      <w:r>
        <w:t xml:space="preserve"> of the </w:t>
      </w:r>
      <w:r w:rsidRPr="00E86B97">
        <w:rPr>
          <w:i/>
        </w:rPr>
        <w:t>Constitution</w:t>
      </w:r>
      <w:r>
        <w:t xml:space="preserve"> limits the Minister's</w:t>
      </w:r>
      <w:r w:rsidRPr="00B64675">
        <w:t xml:space="preserve"> power by prohibiting compulsory acquisitions of land except where</w:t>
      </w:r>
      <w:r>
        <w:t xml:space="preserve"> (among other things)</w:t>
      </w:r>
      <w:r w:rsidRPr="00B64675">
        <w:t>:</w:t>
      </w:r>
    </w:p>
    <w:p w:rsidR="00FC0D13" w:rsidRPr="00A53F23" w:rsidRDefault="00FC0D13" w:rsidP="00FC0D13">
      <w:pPr>
        <w:pStyle w:val="level3"/>
        <w:numPr>
          <w:ilvl w:val="2"/>
          <w:numId w:val="35"/>
        </w:numPr>
      </w:pPr>
      <w:r w:rsidRPr="00A53F23">
        <w:t xml:space="preserve">the taking </w:t>
      </w:r>
      <w:r>
        <w:t xml:space="preserve">of </w:t>
      </w:r>
      <w:r w:rsidRPr="00A53F23">
        <w:t>possession or acquisition is necessary or expedient in the interests of defence, public safety, public order, public morality, public health, town or country planning or the development or utilisation of any property in such a manner as to promote the public benefit; and</w:t>
      </w:r>
    </w:p>
    <w:p w:rsidR="00FC0D13" w:rsidRPr="00A53F23" w:rsidRDefault="00FC0D13" w:rsidP="00FC0D13">
      <w:pPr>
        <w:pStyle w:val="level3"/>
      </w:pPr>
      <w:proofErr w:type="gramStart"/>
      <w:r>
        <w:t>there</w:t>
      </w:r>
      <w:proofErr w:type="gramEnd"/>
      <w:r>
        <w:t xml:space="preserve"> is reasonable</w:t>
      </w:r>
      <w:r w:rsidRPr="00A53F23">
        <w:t xml:space="preserve"> justification for the causing of any hardship that may result to any person having an interest in or right over the property.</w:t>
      </w:r>
    </w:p>
    <w:p w:rsidR="00FC0D13" w:rsidRDefault="00FC0D13" w:rsidP="00FC0D13">
      <w:pPr>
        <w:ind w:left="709"/>
        <w:jc w:val="both"/>
      </w:pPr>
      <w:r w:rsidRPr="00B64675">
        <w:t xml:space="preserve">This provision </w:t>
      </w:r>
      <w:r>
        <w:t>appears likely to permit a compulsory acquisition of land following a natural disaster (</w:t>
      </w:r>
      <w:proofErr w:type="spellStart"/>
      <w:r>
        <w:t>eg</w:t>
      </w:r>
      <w:proofErr w:type="spellEnd"/>
      <w:r>
        <w:t>, where such acquisition is necessary to ensure the health or safety of the public). However, given the length of time involved in such a process (</w:t>
      </w:r>
      <w:proofErr w:type="spellStart"/>
      <w:r>
        <w:t>eg</w:t>
      </w:r>
      <w:proofErr w:type="spellEnd"/>
      <w:r>
        <w:t>, due to appeal rights) and the history of reluctance by the Government to take action which has the potential to cause civil unrest, the compulsory acquisition process appears likely to have little utility where a rapid reactionary response to a natural disaster is required.</w:t>
      </w:r>
    </w:p>
    <w:p w:rsidR="00FC0D13" w:rsidRPr="009D7B33" w:rsidRDefault="00FC0D13" w:rsidP="00FC0D13">
      <w:pPr>
        <w:pStyle w:val="AllensHeading3"/>
        <w:rPr>
          <w:b/>
        </w:rPr>
      </w:pPr>
      <w:r w:rsidRPr="009D7B33">
        <w:rPr>
          <w:b/>
        </w:rPr>
        <w:t>If so, are those laws or regulations applicable in the context of a disaster?</w:t>
      </w:r>
    </w:p>
    <w:p w:rsidR="00FC0D13" w:rsidRDefault="00FC0D13" w:rsidP="00FC0D13">
      <w:pPr>
        <w:ind w:left="709"/>
      </w:pPr>
      <w:r>
        <w:t xml:space="preserve">During or in the immediate aftermath of a disaster, it seems more likely that the Government would rely on the powers given to the National Disaster Council under the </w:t>
      </w:r>
      <w:r w:rsidRPr="00061CF8">
        <w:rPr>
          <w:i/>
        </w:rPr>
        <w:t>National Disaster Council Act</w:t>
      </w:r>
      <w:r w:rsidRPr="00061CF8">
        <w:t xml:space="preserve"> to</w:t>
      </w:r>
      <w:r>
        <w:t xml:space="preserve"> requisition property and to require people to give reasonable assistance to anyone seriously affected by disaster.</w:t>
      </w:r>
      <w:r>
        <w:rPr>
          <w:rStyle w:val="FootnoteReference"/>
        </w:rPr>
        <w:footnoteReference w:id="146"/>
      </w:r>
      <w:r>
        <w:br w:type="page"/>
      </w:r>
    </w:p>
    <w:p w:rsidR="00FC0D13" w:rsidRDefault="00FC0D13" w:rsidP="00FC0D13">
      <w:pPr>
        <w:pStyle w:val="AllensHeading2"/>
      </w:pPr>
      <w:bookmarkStart w:id="90" w:name="_Toc513116833"/>
      <w:bookmarkStart w:id="91" w:name="Relocation"/>
      <w:r>
        <w:lastRenderedPageBreak/>
        <w:t>Relocation</w:t>
      </w:r>
      <w:bookmarkEnd w:id="90"/>
    </w:p>
    <w:bookmarkEnd w:id="91"/>
    <w:p w:rsidR="00FC0D13" w:rsidRPr="009D7B33" w:rsidRDefault="00FC0D13" w:rsidP="00FC0D13">
      <w:pPr>
        <w:pStyle w:val="AllensHeading3"/>
        <w:rPr>
          <w:rFonts w:eastAsiaTheme="minorHAnsi"/>
          <w:b/>
        </w:rPr>
      </w:pPr>
      <w:r w:rsidRPr="009D7B33">
        <w:rPr>
          <w:rFonts w:eastAsiaTheme="minorHAnsi"/>
          <w:b/>
        </w:rPr>
        <w:t>Are there laws or regulations governing relocations?</w:t>
      </w:r>
    </w:p>
    <w:p w:rsidR="00FC0D13" w:rsidRPr="009D7B33" w:rsidRDefault="00FC0D13" w:rsidP="00FC0D13">
      <w:pPr>
        <w:pStyle w:val="AllensHeading3"/>
        <w:rPr>
          <w:rFonts w:eastAsiaTheme="minorHAnsi"/>
          <w:b/>
        </w:rPr>
      </w:pPr>
      <w:r w:rsidRPr="009D7B33">
        <w:rPr>
          <w:rFonts w:eastAsiaTheme="minorHAnsi"/>
          <w:b/>
        </w:rPr>
        <w:t>Are there any other laws or regulations (</w:t>
      </w:r>
      <w:proofErr w:type="spellStart"/>
      <w:r w:rsidRPr="009D7B33">
        <w:rPr>
          <w:rFonts w:eastAsiaTheme="minorHAnsi"/>
          <w:b/>
        </w:rPr>
        <w:t>ie</w:t>
      </w:r>
      <w:proofErr w:type="spellEnd"/>
      <w:r w:rsidRPr="009D7B33">
        <w:rPr>
          <w:rFonts w:eastAsiaTheme="minorHAnsi"/>
          <w:b/>
        </w:rPr>
        <w:t>, human rights instruments) that are applicable to relocations?</w:t>
      </w:r>
    </w:p>
    <w:p w:rsidR="00FC0D13" w:rsidRDefault="00FC0D13">
      <w:pPr>
        <w:pStyle w:val="NormalIndent"/>
      </w:pPr>
      <w:r>
        <w:t>There are no specific laws governing relocations of people following a natural disaster. Despite this, plans are underway to relocate Taro Island, the 500 person capital of Choiseul province, due to fears over climate change induced sea level rise.</w:t>
      </w:r>
      <w:r>
        <w:rPr>
          <w:rStyle w:val="FootnoteReference"/>
        </w:rPr>
        <w:footnoteReference w:id="147"/>
      </w:r>
      <w:r>
        <w:t xml:space="preserve"> A Choiseul Bay Local Planning Scheme showing the layout of a new township on the mainland adjacent to Taro Island was approved in 2016.</w:t>
      </w:r>
      <w:r>
        <w:rPr>
          <w:rStyle w:val="FootnoteReference"/>
        </w:rPr>
        <w:footnoteReference w:id="148"/>
      </w:r>
    </w:p>
    <w:p w:rsidR="00FC0D13" w:rsidRDefault="00FC0D13" w:rsidP="00FC0D13">
      <w:pPr>
        <w:pStyle w:val="NormalIndent"/>
      </w:pPr>
      <w:r>
        <w:t>Some attempts have been made to create new land subdivisions on public land and use long-term leases to provide secure housing for displaced persons.</w:t>
      </w:r>
      <w:r>
        <w:rPr>
          <w:rStyle w:val="FootnoteReference"/>
        </w:rPr>
        <w:footnoteReference w:id="149"/>
      </w:r>
      <w:r>
        <w:t xml:space="preserve"> </w:t>
      </w:r>
    </w:p>
    <w:p w:rsidR="00FC0D13" w:rsidRDefault="00FC0D13" w:rsidP="00FC0D13">
      <w:pPr>
        <w:pStyle w:val="NormalIndent"/>
      </w:pPr>
      <w:r>
        <w:t>In 2014 the Ministry created a new land subdivision in East Honiara as it was one of the re</w:t>
      </w:r>
      <w:r w:rsidRPr="00D53801">
        <w:t>maining city areas owned by the government located in an area which was not at risk from flooding</w:t>
      </w:r>
      <w:r>
        <w:t>. However, the number of leases granted to flood victims fell very short of demand and was impacted by delays. Because of the delays, successful applicants were prevented from taking up their leases by squatters who had moved onto the allocated land in the interim.</w:t>
      </w:r>
      <w:r>
        <w:rPr>
          <w:rStyle w:val="FootnoteReference"/>
        </w:rPr>
        <w:footnoteReference w:id="150"/>
      </w:r>
    </w:p>
    <w:p w:rsidR="00FC0D13" w:rsidRDefault="00FC0D13" w:rsidP="00FC0D13">
      <w:pPr>
        <w:pStyle w:val="AllensHeading2"/>
      </w:pPr>
      <w:bookmarkStart w:id="92" w:name="_Toc513116834"/>
      <w:r>
        <w:t>Compensation for expropriation and relocation</w:t>
      </w:r>
      <w:bookmarkEnd w:id="92"/>
    </w:p>
    <w:p w:rsidR="00FC0D13" w:rsidRPr="009D7B33" w:rsidRDefault="00FC0D13" w:rsidP="00FC0D13">
      <w:pPr>
        <w:pStyle w:val="AllensHeading3"/>
        <w:rPr>
          <w:rFonts w:eastAsiaTheme="minorHAnsi"/>
          <w:b/>
        </w:rPr>
      </w:pPr>
      <w:r w:rsidRPr="009D7B33">
        <w:rPr>
          <w:rFonts w:eastAsiaTheme="minorHAnsi"/>
          <w:b/>
        </w:rPr>
        <w:t>Are there laws or regulations providing compensation for people who are relocated, forcibly evicted, or whose land is expropriated?</w:t>
      </w:r>
    </w:p>
    <w:p w:rsidR="00FC0D13" w:rsidRPr="009D7B33" w:rsidRDefault="00FC0D13" w:rsidP="00FC0D13">
      <w:pPr>
        <w:pStyle w:val="AllensHeading3"/>
        <w:rPr>
          <w:rFonts w:eastAsiaTheme="minorHAnsi"/>
          <w:b/>
        </w:rPr>
      </w:pPr>
      <w:r w:rsidRPr="009D7B33">
        <w:rPr>
          <w:rFonts w:eastAsiaTheme="minorHAnsi"/>
          <w:b/>
        </w:rPr>
        <w:t>In practice, are these laws or regulations adhered to?</w:t>
      </w:r>
    </w:p>
    <w:p w:rsidR="00FC0D13" w:rsidRDefault="00FC0D13" w:rsidP="00FC0D13">
      <w:pPr>
        <w:pStyle w:val="NormalIndent"/>
      </w:pPr>
      <w:r>
        <w:t>A compensation claim may be lodged by any person who claims to be entitled to an interest which, by reason of the Minister's declaration of acquisition, ceases to exist. However, this claim may be rejected, or a lesser amount of compensation offered. There is no automatic right to compensation if land is compulsorily acquired. Compensation</w:t>
      </w:r>
      <w:r w:rsidRPr="00B64675">
        <w:t xml:space="preserve"> claims </w:t>
      </w:r>
      <w:r>
        <w:t>that are rejected by the Commissioner, or with which the claimant is dissatisfied, are</w:t>
      </w:r>
      <w:r w:rsidRPr="00B64675">
        <w:t xml:space="preserve"> subject to appeal to the High Court</w:t>
      </w:r>
      <w:r>
        <w:t>.</w:t>
      </w:r>
      <w:r>
        <w:rPr>
          <w:rStyle w:val="FootnoteReference"/>
        </w:rPr>
        <w:footnoteReference w:id="151"/>
      </w:r>
      <w:r>
        <w:t xml:space="preserve"> In 2008, </w:t>
      </w:r>
      <w:proofErr w:type="spellStart"/>
      <w:r>
        <w:t>AusAID</w:t>
      </w:r>
      <w:proofErr w:type="spellEnd"/>
      <w:r>
        <w:t xml:space="preserve"> reported that compulsory acquisition was not normally applied, with land instead being accessed by negotiated purchase or lease.</w:t>
      </w:r>
      <w:r>
        <w:rPr>
          <w:rStyle w:val="FootnoteReference"/>
        </w:rPr>
        <w:footnoteReference w:id="152"/>
      </w:r>
    </w:p>
    <w:p w:rsidR="00FC0D13" w:rsidRPr="00C53E79" w:rsidRDefault="00FC0D13" w:rsidP="00FC0D13">
      <w:pPr>
        <w:pStyle w:val="AllensHeading2"/>
        <w:rPr>
          <w:rFonts w:eastAsiaTheme="minorHAnsi"/>
          <w:lang w:val="en-US" w:eastAsia="en-US"/>
        </w:rPr>
      </w:pPr>
      <w:bookmarkStart w:id="93" w:name="_Toc483331395"/>
      <w:bookmarkStart w:id="94" w:name="_Toc513116835"/>
      <w:bookmarkStart w:id="95" w:name="Shelter_Cluster"/>
      <w:r w:rsidRPr="00C53E79">
        <w:rPr>
          <w:rFonts w:eastAsiaTheme="minorHAnsi"/>
          <w:lang w:val="en-US" w:eastAsia="en-US"/>
        </w:rPr>
        <w:t>Shelter cluster</w:t>
      </w:r>
      <w:bookmarkEnd w:id="93"/>
      <w:bookmarkEnd w:id="94"/>
    </w:p>
    <w:bookmarkEnd w:id="95"/>
    <w:p w:rsidR="00FC0D13" w:rsidRPr="009D7B33" w:rsidRDefault="00FC0D13" w:rsidP="00FC0D13">
      <w:pPr>
        <w:pStyle w:val="AllensHeading3"/>
        <w:rPr>
          <w:b/>
        </w:rPr>
      </w:pPr>
      <w:r w:rsidRPr="009D7B33">
        <w:rPr>
          <w:b/>
        </w:rPr>
        <w:t>Is there an active shelter cluster in the country?</w:t>
      </w:r>
    </w:p>
    <w:p w:rsidR="00FC0D13" w:rsidRPr="009D7B33" w:rsidRDefault="00FC0D13" w:rsidP="00FC0D13">
      <w:pPr>
        <w:pStyle w:val="AllensHeading3"/>
        <w:rPr>
          <w:b/>
        </w:rPr>
      </w:pPr>
      <w:r w:rsidRPr="009D7B33">
        <w:rPr>
          <w:b/>
        </w:rPr>
        <w:t>If not, has the shelter cluster been activated during any previous disasters?</w:t>
      </w:r>
    </w:p>
    <w:p w:rsidR="00FC0D13" w:rsidRDefault="00FC0D13" w:rsidP="00FC0D13">
      <w:pPr>
        <w:pStyle w:val="NormalIndent"/>
      </w:pPr>
      <w:r w:rsidRPr="00485B2C">
        <w:t xml:space="preserve">A shelter cluster was first established in 2009 </w:t>
      </w:r>
      <w:r>
        <w:t xml:space="preserve">in response to the 2007 earthquake and tsunami. The shelter cluster was </w:t>
      </w:r>
      <w:r w:rsidRPr="00485B2C">
        <w:t>use</w:t>
      </w:r>
      <w:r>
        <w:t>d in response to 2014 flooding.</w:t>
      </w:r>
    </w:p>
    <w:p w:rsidR="00FC0D13" w:rsidRDefault="00FC0D13" w:rsidP="00FC0D13">
      <w:pPr>
        <w:pStyle w:val="NormalIndent"/>
      </w:pPr>
      <w:r w:rsidRPr="00485B2C">
        <w:lastRenderedPageBreak/>
        <w:t xml:space="preserve">In 2017, as part of a review into the National Disaster Risk Management Plan, it was proposed to replace </w:t>
      </w:r>
      <w:r>
        <w:t>the shelter cluster system</w:t>
      </w:r>
      <w:r w:rsidRPr="00485B2C">
        <w:t xml:space="preserve"> with </w:t>
      </w:r>
      <w:proofErr w:type="gramStart"/>
      <w:r w:rsidRPr="00485B2C">
        <w:t>a  Shelter</w:t>
      </w:r>
      <w:proofErr w:type="gramEnd"/>
      <w:r w:rsidRPr="00485B2C">
        <w:t xml:space="preserve"> Sub-Committee, established under the Infrastructure Committee which forms part of the N</w:t>
      </w:r>
      <w:r>
        <w:t>ational Disaster Operations Committee</w:t>
      </w:r>
      <w:r w:rsidRPr="00485B2C">
        <w:t>.</w:t>
      </w:r>
      <w:r>
        <w:rPr>
          <w:rStyle w:val="FootnoteReference"/>
        </w:rPr>
        <w:footnoteReference w:id="153"/>
      </w:r>
    </w:p>
    <w:p w:rsidR="00095B77" w:rsidRPr="00095B77" w:rsidRDefault="00095B77" w:rsidP="005759CA">
      <w:pPr>
        <w:pStyle w:val="NormalIndent"/>
        <w:ind w:left="0"/>
        <w:rPr>
          <w:b/>
          <w:sz w:val="21"/>
        </w:rPr>
      </w:pPr>
    </w:p>
    <w:sectPr w:rsidR="00095B77" w:rsidRPr="00095B77" w:rsidSect="00C844EA">
      <w:headerReference w:type="default" r:id="rId33"/>
      <w:footerReference w:type="default" r:id="rId34"/>
      <w:headerReference w:type="first" r:id="rId35"/>
      <w:pgSz w:w="11907" w:h="16839"/>
      <w:pgMar w:top="1701" w:right="1134" w:bottom="1134"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C2B" w:rsidRDefault="00C42C2B" w:rsidP="00620C38">
      <w:pPr>
        <w:spacing w:before="0" w:line="240" w:lineRule="auto"/>
      </w:pPr>
      <w:r>
        <w:separator/>
      </w:r>
    </w:p>
  </w:endnote>
  <w:endnote w:type="continuationSeparator" w:id="0">
    <w:p w:rsidR="00C42C2B" w:rsidRDefault="00C42C2B" w:rsidP="00620C3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8647"/>
      <w:gridCol w:w="709"/>
    </w:tblGrid>
    <w:tr w:rsidR="007211D0" w:rsidRPr="00620C38" w:rsidTr="008401EE">
      <w:tc>
        <w:tcPr>
          <w:tcW w:w="8647" w:type="dxa"/>
        </w:tcPr>
        <w:p w:rsidR="007211D0" w:rsidRPr="00620C38" w:rsidRDefault="007211D0" w:rsidP="00E67DFD">
          <w:pPr>
            <w:spacing w:before="40" w:line="240" w:lineRule="auto"/>
            <w:rPr>
              <w:noProof/>
              <w:sz w:val="16"/>
            </w:rPr>
          </w:pPr>
        </w:p>
      </w:tc>
      <w:tc>
        <w:tcPr>
          <w:tcW w:w="709" w:type="dxa"/>
        </w:tcPr>
        <w:p w:rsidR="007211D0" w:rsidRPr="00620C38" w:rsidRDefault="007211D0" w:rsidP="00E67DFD">
          <w:pPr>
            <w:spacing w:before="40" w:line="240" w:lineRule="auto"/>
            <w:jc w:val="right"/>
            <w:rPr>
              <w:noProof/>
              <w:sz w:val="16"/>
            </w:rPr>
          </w:pPr>
        </w:p>
      </w:tc>
    </w:tr>
  </w:tbl>
  <w:p w:rsidR="007211D0" w:rsidRDefault="007211D0" w:rsidP="00131D09">
    <w:pPr>
      <w:pStyle w:val="Footer"/>
    </w:pPr>
    <w:bookmarkStart w:id="38" w:name="AgreementDisclaimer"/>
  </w:p>
  <w:bookmarkEnd w:id="38"/>
  <w:p w:rsidR="007211D0" w:rsidRPr="00131D09" w:rsidRDefault="007211D0" w:rsidP="00131D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7211D0" w:rsidTr="00FC0D13">
      <w:tc>
        <w:tcPr>
          <w:tcW w:w="8647" w:type="dxa"/>
        </w:tcPr>
        <w:p w:rsidR="007211D0" w:rsidRDefault="00506C03" w:rsidP="00FC0D13">
          <w:pPr>
            <w:pStyle w:val="Footer"/>
          </w:pPr>
          <w:fldSimple w:instr=" DOCPROPERTY &quot;DOCSFooter&quot;  \* MERGEFORMAT ">
            <w:r w:rsidR="006F1291">
              <w:t xml:space="preserve">rrmm A0142579153v1 120641715 </w:t>
            </w:r>
          </w:fldSimple>
          <w:r w:rsidR="007211D0">
            <w:t xml:space="preserve">    </w:t>
          </w:r>
          <w:r w:rsidR="007211D0">
            <w:fldChar w:fldCharType="begin"/>
          </w:r>
          <w:r w:rsidR="007211D0">
            <w:instrText xml:space="preserve"> SAVEDATE \@ "d.M.yyyy" \* MERGEFORMAT </w:instrText>
          </w:r>
          <w:r w:rsidR="007211D0">
            <w:fldChar w:fldCharType="separate"/>
          </w:r>
          <w:r w:rsidR="00E45152">
            <w:t>24.5.2018</w:t>
          </w:r>
          <w:r w:rsidR="007211D0">
            <w:fldChar w:fldCharType="end"/>
          </w:r>
        </w:p>
      </w:tc>
      <w:tc>
        <w:tcPr>
          <w:tcW w:w="709" w:type="dxa"/>
        </w:tcPr>
        <w:p w:rsidR="007211D0" w:rsidRDefault="007211D0" w:rsidP="00FC0D13">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p>
      </w:tc>
    </w:tr>
  </w:tbl>
  <w:p w:rsidR="007211D0" w:rsidRPr="00620C38" w:rsidRDefault="007211D0" w:rsidP="00620C38">
    <w:pPr>
      <w:pStyle w:val="Footer"/>
    </w:pPr>
    <w:r>
      <w:rPr>
        <w:sz w:val="12"/>
      </w:rPr>
      <w:t>Allens is an independent partnership operating in alliance with Linklaters LLP.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7211D0" w:rsidRPr="00620C38" w:rsidTr="00E67DFD">
      <w:tc>
        <w:tcPr>
          <w:tcW w:w="8647" w:type="dxa"/>
        </w:tcPr>
        <w:p w:rsidR="007211D0" w:rsidRPr="00620C38" w:rsidRDefault="007211D0" w:rsidP="00E67DFD">
          <w:pPr>
            <w:spacing w:before="40" w:line="240" w:lineRule="auto"/>
            <w:rPr>
              <w:noProof/>
              <w:sz w:val="16"/>
            </w:rPr>
          </w:pPr>
          <w:r w:rsidRPr="00620C38">
            <w:rPr>
              <w:noProof/>
              <w:sz w:val="16"/>
            </w:rPr>
            <w:fldChar w:fldCharType="begin"/>
          </w:r>
          <w:r w:rsidRPr="00620C38">
            <w:rPr>
              <w:noProof/>
              <w:sz w:val="16"/>
            </w:rPr>
            <w:instrText xml:space="preserve"> DOCPROPERTY "DOCSFooter"  \* MERGEFORMAT </w:instrText>
          </w:r>
          <w:r w:rsidRPr="00620C38">
            <w:rPr>
              <w:noProof/>
              <w:sz w:val="16"/>
            </w:rPr>
            <w:fldChar w:fldCharType="separate"/>
          </w:r>
          <w:r w:rsidR="006F1291">
            <w:rPr>
              <w:noProof/>
              <w:sz w:val="16"/>
            </w:rPr>
            <w:t xml:space="preserve">rrmm A0142579153v1 120641715 </w:t>
          </w:r>
          <w:r w:rsidRPr="00620C38">
            <w:rPr>
              <w:noProof/>
              <w:sz w:val="16"/>
            </w:rPr>
            <w:fldChar w:fldCharType="end"/>
          </w:r>
          <w:r w:rsidRPr="00620C38">
            <w:rPr>
              <w:noProof/>
              <w:sz w:val="16"/>
            </w:rPr>
            <w:t xml:space="preserve">    </w:t>
          </w:r>
          <w:r w:rsidRPr="00620C38">
            <w:rPr>
              <w:noProof/>
              <w:sz w:val="16"/>
            </w:rPr>
            <w:fldChar w:fldCharType="begin"/>
          </w:r>
          <w:r w:rsidRPr="00620C38">
            <w:rPr>
              <w:noProof/>
              <w:sz w:val="16"/>
            </w:rPr>
            <w:instrText xml:space="preserve"> SAVEDATE \@ "d.M.yyyy" \* MERGEFORMAT </w:instrText>
          </w:r>
          <w:r w:rsidRPr="00620C38">
            <w:rPr>
              <w:noProof/>
              <w:sz w:val="16"/>
            </w:rPr>
            <w:fldChar w:fldCharType="separate"/>
          </w:r>
          <w:r w:rsidR="00E45152">
            <w:rPr>
              <w:noProof/>
              <w:sz w:val="16"/>
            </w:rPr>
            <w:t>24.5.2018</w:t>
          </w:r>
          <w:r w:rsidRPr="00620C38">
            <w:rPr>
              <w:noProof/>
              <w:sz w:val="16"/>
            </w:rPr>
            <w:fldChar w:fldCharType="end"/>
          </w:r>
        </w:p>
      </w:tc>
      <w:tc>
        <w:tcPr>
          <w:tcW w:w="709" w:type="dxa"/>
        </w:tcPr>
        <w:p w:rsidR="007211D0" w:rsidRPr="00620C38" w:rsidRDefault="007211D0" w:rsidP="00AA4233">
          <w:pPr>
            <w:spacing w:before="40" w:line="240" w:lineRule="auto"/>
            <w:jc w:val="right"/>
            <w:rPr>
              <w:noProof/>
              <w:sz w:val="16"/>
            </w:rPr>
          </w:pPr>
          <w:r w:rsidRPr="00620C38">
            <w:rPr>
              <w:noProof/>
              <w:snapToGrid w:val="0"/>
              <w:sz w:val="16"/>
            </w:rPr>
            <w:t>p</w:t>
          </w:r>
          <w:r>
            <w:rPr>
              <w:noProof/>
              <w:snapToGrid w:val="0"/>
              <w:sz w:val="16"/>
            </w:rPr>
            <w:t>ag</w:t>
          </w:r>
          <w:r w:rsidRPr="00620C38">
            <w:rPr>
              <w:noProof/>
              <w:snapToGrid w:val="0"/>
              <w:sz w:val="16"/>
            </w:rPr>
            <w:t xml:space="preserve">e </w:t>
          </w:r>
          <w:r w:rsidRPr="00620C38">
            <w:rPr>
              <w:noProof/>
              <w:snapToGrid w:val="0"/>
              <w:sz w:val="16"/>
            </w:rPr>
            <w:fldChar w:fldCharType="begin"/>
          </w:r>
          <w:r w:rsidRPr="00620C38">
            <w:rPr>
              <w:noProof/>
              <w:snapToGrid w:val="0"/>
              <w:sz w:val="16"/>
            </w:rPr>
            <w:instrText xml:space="preserve"> PAGE </w:instrText>
          </w:r>
          <w:r w:rsidRPr="00620C38">
            <w:rPr>
              <w:noProof/>
              <w:snapToGrid w:val="0"/>
              <w:sz w:val="16"/>
            </w:rPr>
            <w:fldChar w:fldCharType="separate"/>
          </w:r>
          <w:r w:rsidR="00E45152">
            <w:rPr>
              <w:noProof/>
              <w:snapToGrid w:val="0"/>
              <w:sz w:val="16"/>
            </w:rPr>
            <w:t>25</w:t>
          </w:r>
          <w:r w:rsidRPr="00620C38">
            <w:rPr>
              <w:noProof/>
              <w:snapToGrid w:val="0"/>
              <w:sz w:val="16"/>
            </w:rPr>
            <w:fldChar w:fldCharType="end"/>
          </w:r>
        </w:p>
      </w:tc>
    </w:tr>
  </w:tbl>
  <w:p w:rsidR="007211D0" w:rsidRDefault="007211D0" w:rsidP="00131D09">
    <w:pPr>
      <w:pStyle w:val="Footer"/>
    </w:pPr>
    <w:r>
      <w:rPr>
        <w:sz w:val="12"/>
      </w:rPr>
      <w:t>Allens is an independent partnership operating in alliance with Linklaters LLP.</w:t>
    </w:r>
  </w:p>
  <w:p w:rsidR="007211D0" w:rsidRPr="00131D09" w:rsidRDefault="007211D0" w:rsidP="00131D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C2B" w:rsidRDefault="00C42C2B" w:rsidP="00620C38">
      <w:pPr>
        <w:spacing w:before="0" w:line="240" w:lineRule="auto"/>
      </w:pPr>
      <w:r>
        <w:separator/>
      </w:r>
    </w:p>
  </w:footnote>
  <w:footnote w:type="continuationSeparator" w:id="0">
    <w:p w:rsidR="00C42C2B" w:rsidRDefault="00C42C2B" w:rsidP="00620C38">
      <w:pPr>
        <w:spacing w:before="0" w:line="240" w:lineRule="auto"/>
      </w:pPr>
      <w:r>
        <w:continuationSeparator/>
      </w:r>
    </w:p>
  </w:footnote>
  <w:footnote w:id="1">
    <w:p w:rsidR="007211D0" w:rsidRDefault="007211D0" w:rsidP="00FC0D13">
      <w:pPr>
        <w:pStyle w:val="FootnoteText"/>
      </w:pPr>
      <w:r>
        <w:rPr>
          <w:rStyle w:val="FootnoteReference"/>
        </w:rPr>
        <w:footnoteRef/>
      </w:r>
      <w:r>
        <w:t xml:space="preserve"> Scott </w:t>
      </w:r>
      <w:proofErr w:type="spellStart"/>
      <w:r>
        <w:t>Leckie</w:t>
      </w:r>
      <w:proofErr w:type="spellEnd"/>
      <w:r>
        <w:t xml:space="preserve"> (</w:t>
      </w:r>
      <w:proofErr w:type="spellStart"/>
      <w:proofErr w:type="gramStart"/>
      <w:r>
        <w:t>ed</w:t>
      </w:r>
      <w:proofErr w:type="spellEnd"/>
      <w:proofErr w:type="gramEnd"/>
      <w:r>
        <w:t xml:space="preserve">), </w:t>
      </w:r>
      <w:r w:rsidRPr="00AC13E9">
        <w:rPr>
          <w:i/>
        </w:rPr>
        <w:t>Housing, Land and Property Rights in Post Conflict United Nations an Other Peace Operations: A Comparative Survey and Proposal for Reform</w:t>
      </w:r>
      <w:r>
        <w:t xml:space="preserve"> (February 2009) Cambridge University Press &lt;</w:t>
      </w:r>
      <w:hyperlink r:id="rId1" w:history="1">
        <w:r w:rsidRPr="00E21078">
          <w:rPr>
            <w:rStyle w:val="Hyperlink"/>
          </w:rPr>
          <w:t>http://assets.cambridge.org/97805218/88233/frontmatter/9780521888233_frontmatter.pdf</w:t>
        </w:r>
      </w:hyperlink>
      <w:r>
        <w:t>&gt;.</w:t>
      </w:r>
    </w:p>
  </w:footnote>
  <w:footnote w:id="2">
    <w:p w:rsidR="007211D0" w:rsidRPr="006B2E5C" w:rsidRDefault="007211D0">
      <w:pPr>
        <w:pStyle w:val="FootnoteText"/>
      </w:pPr>
      <w:r>
        <w:rPr>
          <w:rStyle w:val="FootnoteReference"/>
        </w:rPr>
        <w:footnoteRef/>
      </w:r>
      <w:r>
        <w:t xml:space="preserve"> </w:t>
      </w:r>
      <w:proofErr w:type="gramStart"/>
      <w:r>
        <w:t xml:space="preserve">Central Intelligence Agency, </w:t>
      </w:r>
      <w:r w:rsidRPr="00576F12">
        <w:rPr>
          <w:i/>
        </w:rPr>
        <w:t xml:space="preserve">CIA World </w:t>
      </w:r>
      <w:proofErr w:type="spellStart"/>
      <w:r w:rsidRPr="00576F12">
        <w:rPr>
          <w:i/>
        </w:rPr>
        <w:t>Factbook</w:t>
      </w:r>
      <w:proofErr w:type="spellEnd"/>
      <w:r w:rsidRPr="00576F12">
        <w:rPr>
          <w:i/>
        </w:rPr>
        <w:t xml:space="preserve"> – Solomon Islands</w:t>
      </w:r>
      <w:r>
        <w:rPr>
          <w:i/>
        </w:rPr>
        <w:t xml:space="preserve"> </w:t>
      </w:r>
      <w:r w:rsidRPr="00576F12">
        <w:t>(</w:t>
      </w:r>
      <w:r>
        <w:t>July 2016) &lt;</w:t>
      </w:r>
      <w:hyperlink r:id="rId2" w:history="1">
        <w:r w:rsidRPr="00576F12">
          <w:rPr>
            <w:rStyle w:val="Hyperlink"/>
          </w:rPr>
          <w:t>https://www.cia.gov/library/publications/the-world-factbook/geos/bp.html</w:t>
        </w:r>
      </w:hyperlink>
      <w:r>
        <w:t>&gt;.</w:t>
      </w:r>
      <w:proofErr w:type="gramEnd"/>
    </w:p>
  </w:footnote>
  <w:footnote w:id="3">
    <w:p w:rsidR="007211D0" w:rsidRDefault="007211D0" w:rsidP="00FC0D13">
      <w:pPr>
        <w:pStyle w:val="FootnoteText"/>
      </w:pPr>
      <w:r>
        <w:rPr>
          <w:rStyle w:val="FootnoteReference"/>
        </w:rPr>
        <w:footnoteRef/>
      </w:r>
      <w:r>
        <w:t xml:space="preserve"> Craig Corona, 'Private Lands Conservation in the Solomon Islands', (2004) </w:t>
      </w:r>
      <w:r w:rsidRPr="00AC13E9">
        <w:rPr>
          <w:i/>
        </w:rPr>
        <w:t xml:space="preserve">Natural Resources Law </w:t>
      </w:r>
      <w:proofErr w:type="spellStart"/>
      <w:r w:rsidRPr="00AC13E9">
        <w:rPr>
          <w:i/>
        </w:rPr>
        <w:t>Center</w:t>
      </w:r>
      <w:proofErr w:type="spellEnd"/>
      <w:r w:rsidRPr="00AC13E9">
        <w:rPr>
          <w:i/>
        </w:rPr>
        <w:t>, University of Colorado School of Law</w:t>
      </w:r>
      <w:r>
        <w:t xml:space="preserve"> &lt;</w:t>
      </w:r>
      <w:hyperlink r:id="rId3" w:history="1">
        <w:r w:rsidRPr="000E2F39">
          <w:rPr>
            <w:rStyle w:val="Hyperlink"/>
          </w:rPr>
          <w:t>http://scholar.law.colorado.edu/cgi/viewcontent.cgi?article=1169&amp;context=books_reports_studies</w:t>
        </w:r>
      </w:hyperlink>
      <w:r>
        <w:t>&gt;.</w:t>
      </w:r>
    </w:p>
  </w:footnote>
  <w:footnote w:id="4">
    <w:p w:rsidR="007211D0" w:rsidRDefault="007211D0" w:rsidP="00FC0D13">
      <w:pPr>
        <w:pStyle w:val="FootnoteText"/>
      </w:pPr>
      <w:r>
        <w:rPr>
          <w:rStyle w:val="FootnoteReference"/>
        </w:rPr>
        <w:footnoteRef/>
      </w:r>
      <w:r>
        <w:t xml:space="preserve"> Jennifer </w:t>
      </w:r>
      <w:proofErr w:type="spellStart"/>
      <w:r>
        <w:t>Corrin</w:t>
      </w:r>
      <w:proofErr w:type="spellEnd"/>
      <w:r>
        <w:t>, 'Customary Land in Solomon Islands: A Victim of Legal Pluralism' in Anthony Angelo and Yves-Louis Sage (</w:t>
      </w:r>
      <w:proofErr w:type="spellStart"/>
      <w:r>
        <w:t>ed</w:t>
      </w:r>
      <w:proofErr w:type="spellEnd"/>
      <w:r>
        <w:t xml:space="preserve">) </w:t>
      </w:r>
      <w:proofErr w:type="spellStart"/>
      <w:r w:rsidRPr="00AE7185">
        <w:rPr>
          <w:i/>
        </w:rPr>
        <w:t>Droit</w:t>
      </w:r>
      <w:proofErr w:type="spellEnd"/>
      <w:r w:rsidRPr="00AE7185">
        <w:rPr>
          <w:i/>
        </w:rPr>
        <w:t xml:space="preserve"> </w:t>
      </w:r>
      <w:proofErr w:type="spellStart"/>
      <w:r w:rsidRPr="00AE7185">
        <w:rPr>
          <w:i/>
        </w:rPr>
        <w:t>Froncier</w:t>
      </w:r>
      <w:proofErr w:type="spellEnd"/>
      <w:r w:rsidRPr="00AE7185">
        <w:rPr>
          <w:i/>
        </w:rPr>
        <w:t xml:space="preserve"> Et </w:t>
      </w:r>
      <w:proofErr w:type="spellStart"/>
      <w:r w:rsidRPr="00AE7185">
        <w:rPr>
          <w:i/>
        </w:rPr>
        <w:t>Gouvernance</w:t>
      </w:r>
      <w:proofErr w:type="spellEnd"/>
      <w:r w:rsidRPr="00AE7185">
        <w:rPr>
          <w:i/>
        </w:rPr>
        <w:t xml:space="preserve"> </w:t>
      </w:r>
      <w:proofErr w:type="spellStart"/>
      <w:r w:rsidRPr="00AE7185">
        <w:rPr>
          <w:i/>
        </w:rPr>
        <w:t>Judiciarire</w:t>
      </w:r>
      <w:proofErr w:type="spellEnd"/>
      <w:r w:rsidRPr="00AE7185">
        <w:rPr>
          <w:i/>
        </w:rPr>
        <w:t xml:space="preserve"> </w:t>
      </w:r>
      <w:proofErr w:type="spellStart"/>
      <w:r w:rsidRPr="00AE7185">
        <w:rPr>
          <w:i/>
        </w:rPr>
        <w:t>Dans</w:t>
      </w:r>
      <w:proofErr w:type="spellEnd"/>
      <w:r w:rsidRPr="00AE7185">
        <w:rPr>
          <w:i/>
        </w:rPr>
        <w:t xml:space="preserve"> Le </w:t>
      </w:r>
      <w:proofErr w:type="spellStart"/>
      <w:r w:rsidRPr="00AE7185">
        <w:rPr>
          <w:i/>
        </w:rPr>
        <w:t>Pacifique</w:t>
      </w:r>
      <w:proofErr w:type="spellEnd"/>
      <w:r w:rsidRPr="00AE7185">
        <w:rPr>
          <w:i/>
        </w:rPr>
        <w:t>: Land Law and Governance in the South Pacific</w:t>
      </w:r>
      <w:r>
        <w:t xml:space="preserve"> (2011) &lt;</w:t>
      </w:r>
      <w:hyperlink r:id="rId4" w:history="1">
        <w:r w:rsidRPr="000E2F39">
          <w:rPr>
            <w:rStyle w:val="Hyperlink"/>
          </w:rPr>
          <w:t>http://www.victoria.ac.nz/law/research/publications/about-nzacl/publications/special-issues/hors-serie-volume-xii,-2011/Corrin.pdf</w:t>
        </w:r>
      </w:hyperlink>
      <w:r>
        <w:t>&gt;.</w:t>
      </w:r>
    </w:p>
  </w:footnote>
  <w:footnote w:id="5">
    <w:p w:rsidR="007211D0" w:rsidRDefault="007211D0" w:rsidP="00FC0D13">
      <w:pPr>
        <w:pStyle w:val="FootnoteText"/>
      </w:pPr>
      <w:r>
        <w:rPr>
          <w:rStyle w:val="FootnoteReference"/>
        </w:rPr>
        <w:footnoteRef/>
      </w:r>
      <w:r>
        <w:t xml:space="preserve"> Craig Corona, 'Private Lands Conservation in the Solomon Islands', (2004) </w:t>
      </w:r>
      <w:r w:rsidRPr="00AC13E9">
        <w:rPr>
          <w:i/>
        </w:rPr>
        <w:t xml:space="preserve">Natural Resources Law </w:t>
      </w:r>
      <w:proofErr w:type="spellStart"/>
      <w:r w:rsidRPr="00AC13E9">
        <w:rPr>
          <w:i/>
        </w:rPr>
        <w:t>Center</w:t>
      </w:r>
      <w:proofErr w:type="spellEnd"/>
      <w:r w:rsidRPr="00AC13E9">
        <w:rPr>
          <w:i/>
        </w:rPr>
        <w:t>, Univ</w:t>
      </w:r>
      <w:r>
        <w:rPr>
          <w:i/>
        </w:rPr>
        <w:t>ersity of Colorado School of Law.</w:t>
      </w:r>
    </w:p>
  </w:footnote>
  <w:footnote w:id="6">
    <w:p w:rsidR="007211D0" w:rsidRDefault="007211D0" w:rsidP="00FC0D13">
      <w:pPr>
        <w:pStyle w:val="FootnoteText"/>
      </w:pPr>
      <w:r>
        <w:rPr>
          <w:rStyle w:val="FootnoteReference"/>
        </w:rPr>
        <w:footnoteRef/>
      </w:r>
      <w:r>
        <w:t xml:space="preserve"> Ibid.</w:t>
      </w:r>
    </w:p>
  </w:footnote>
  <w:footnote w:id="7">
    <w:p w:rsidR="007211D0" w:rsidRPr="0054137F" w:rsidRDefault="007211D0" w:rsidP="00FC0D13">
      <w:pPr>
        <w:pStyle w:val="FootnoteText"/>
      </w:pPr>
      <w:r>
        <w:rPr>
          <w:rStyle w:val="FootnoteReference"/>
        </w:rPr>
        <w:footnoteRef/>
      </w:r>
      <w:r>
        <w:t xml:space="preserve"> Solomon Islands legislation was consolidated in 1996. The 'Cap' reference numbers refer to the chapter the piece of legislation falls in the consolidated version. At the date of this memorandum, the </w:t>
      </w:r>
      <w:r w:rsidRPr="0054137F">
        <w:rPr>
          <w:i/>
        </w:rPr>
        <w:t>Town and Country Planning Act</w:t>
      </w:r>
      <w:r>
        <w:t xml:space="preserve"> and the </w:t>
      </w:r>
      <w:r w:rsidRPr="0054137F">
        <w:rPr>
          <w:i/>
        </w:rPr>
        <w:t>Land Surveys Act</w:t>
      </w:r>
      <w:r>
        <w:t xml:space="preserve"> were proposed to be renamed as the </w:t>
      </w:r>
      <w:r w:rsidRPr="0054137F">
        <w:rPr>
          <w:i/>
        </w:rPr>
        <w:t>Planning and Development Act</w:t>
      </w:r>
      <w:r>
        <w:t xml:space="preserve"> and </w:t>
      </w:r>
      <w:r w:rsidRPr="0054137F">
        <w:rPr>
          <w:i/>
        </w:rPr>
        <w:t>Land Surveyors Act</w:t>
      </w:r>
      <w:r>
        <w:t xml:space="preserve"> once proposed amending legislation had been passed.</w:t>
      </w:r>
    </w:p>
  </w:footnote>
  <w:footnote w:id="8">
    <w:p w:rsidR="007211D0" w:rsidRDefault="007211D0" w:rsidP="00FC0D13">
      <w:pPr>
        <w:pStyle w:val="FootnoteText"/>
      </w:pPr>
      <w:r>
        <w:rPr>
          <w:rStyle w:val="FootnoteReference"/>
        </w:rPr>
        <w:footnoteRef/>
      </w:r>
      <w:r>
        <w:t xml:space="preserve"> </w:t>
      </w:r>
      <w:proofErr w:type="gramStart"/>
      <w:r w:rsidRPr="00985F39">
        <w:rPr>
          <w:i/>
        </w:rPr>
        <w:t>Land and Titles Act</w:t>
      </w:r>
      <w:r w:rsidRPr="00C8159C">
        <w:t xml:space="preserve"> s2.</w:t>
      </w:r>
      <w:proofErr w:type="gramEnd"/>
      <w:r w:rsidRPr="00C8159C">
        <w:t xml:space="preserve"> An unresolved point of contention in this definition relates to whether the definition includes ownership of areas below the high water mark. Two directly contradictory decisions have been handed down by the High Court</w:t>
      </w:r>
      <w:r>
        <w:t xml:space="preserve"> on this issue. See </w:t>
      </w:r>
      <w:proofErr w:type="spellStart"/>
      <w:r w:rsidRPr="00985F39">
        <w:rPr>
          <w:i/>
        </w:rPr>
        <w:t>Allardyce</w:t>
      </w:r>
      <w:proofErr w:type="spellEnd"/>
      <w:r w:rsidRPr="00985F39">
        <w:rPr>
          <w:i/>
        </w:rPr>
        <w:t xml:space="preserve"> Lumber Company Ltd v </w:t>
      </w:r>
      <w:proofErr w:type="spellStart"/>
      <w:r w:rsidRPr="00985F39">
        <w:rPr>
          <w:i/>
        </w:rPr>
        <w:t>Laore</w:t>
      </w:r>
      <w:proofErr w:type="spellEnd"/>
      <w:r>
        <w:t xml:space="preserve"> [1990] SBHC 46 and</w:t>
      </w:r>
      <w:r w:rsidRPr="00C8159C">
        <w:t xml:space="preserve"> </w:t>
      </w:r>
      <w:r w:rsidRPr="00985F39">
        <w:rPr>
          <w:i/>
        </w:rPr>
        <w:t xml:space="preserve">Combined </w:t>
      </w:r>
      <w:proofErr w:type="spellStart"/>
      <w:proofErr w:type="gramStart"/>
      <w:r w:rsidRPr="00985F39">
        <w:rPr>
          <w:i/>
        </w:rPr>
        <w:t>Fera</w:t>
      </w:r>
      <w:proofErr w:type="spellEnd"/>
      <w:proofErr w:type="gramEnd"/>
      <w:r w:rsidRPr="00985F39">
        <w:rPr>
          <w:i/>
        </w:rPr>
        <w:t xml:space="preserve"> Group v Attorney General </w:t>
      </w:r>
      <w:r w:rsidRPr="00C8159C">
        <w:t>[1997] SBHC 55.</w:t>
      </w:r>
    </w:p>
  </w:footnote>
  <w:footnote w:id="9">
    <w:p w:rsidR="007211D0" w:rsidRDefault="007211D0">
      <w:pPr>
        <w:pStyle w:val="FootnoteText"/>
      </w:pPr>
      <w:r>
        <w:rPr>
          <w:rStyle w:val="FootnoteReference"/>
        </w:rPr>
        <w:footnoteRef/>
      </w:r>
      <w:r>
        <w:t xml:space="preserve"> </w:t>
      </w:r>
      <w:proofErr w:type="gramStart"/>
      <w:r>
        <w:rPr>
          <w:i/>
        </w:rPr>
        <w:t xml:space="preserve">Constitution of </w:t>
      </w:r>
      <w:r w:rsidRPr="009D64BA">
        <w:rPr>
          <w:i/>
        </w:rPr>
        <w:t>Solomon Islands</w:t>
      </w:r>
      <w:r w:rsidRPr="00FE49AA">
        <w:rPr>
          <w:i/>
        </w:rPr>
        <w:t xml:space="preserve"> 1978 </w:t>
      </w:r>
      <w:proofErr w:type="spellStart"/>
      <w:r>
        <w:t>ss</w:t>
      </w:r>
      <w:proofErr w:type="spellEnd"/>
      <w:r>
        <w:t xml:space="preserve"> 111, 112 &lt;</w:t>
      </w:r>
      <w:hyperlink r:id="rId5" w:history="1">
        <w:r w:rsidRPr="000E2F39">
          <w:rPr>
            <w:rStyle w:val="Hyperlink"/>
          </w:rPr>
          <w:t>http://www.paclii.org/sb/legis/consol_act/c1978167/</w:t>
        </w:r>
      </w:hyperlink>
      <w:r>
        <w:t>&gt;.</w:t>
      </w:r>
      <w:proofErr w:type="gramEnd"/>
    </w:p>
  </w:footnote>
  <w:footnote w:id="10">
    <w:p w:rsidR="007211D0" w:rsidRDefault="007211D0" w:rsidP="00FC0D13">
      <w:pPr>
        <w:pStyle w:val="FootnoteText"/>
      </w:pPr>
      <w:r>
        <w:rPr>
          <w:rStyle w:val="FootnoteReference"/>
        </w:rPr>
        <w:footnoteRef/>
      </w:r>
      <w:r>
        <w:t xml:space="preserve"> </w:t>
      </w:r>
      <w:proofErr w:type="gramStart"/>
      <w:r w:rsidRPr="007E6F01">
        <w:t xml:space="preserve">Sue </w:t>
      </w:r>
      <w:proofErr w:type="spellStart"/>
      <w:r w:rsidRPr="007E6F01">
        <w:t>Farran</w:t>
      </w:r>
      <w:proofErr w:type="spellEnd"/>
      <w:r w:rsidRPr="007E6F01">
        <w:t>, 'Navigating Between Traditional land tenure and introduced land laws in Pacific Island Stat</w:t>
      </w:r>
      <w:r>
        <w:t>es', (</w:t>
      </w:r>
      <w:r w:rsidRPr="007E6F01">
        <w:t>2011</w:t>
      </w:r>
      <w:r>
        <w:t xml:space="preserve">) </w:t>
      </w:r>
      <w:r w:rsidRPr="007E6F01">
        <w:t xml:space="preserve">64 </w:t>
      </w:r>
      <w:r w:rsidRPr="00240E5C">
        <w:rPr>
          <w:i/>
        </w:rPr>
        <w:t>Journal of Legal Pluralism</w:t>
      </w:r>
      <w:r w:rsidRPr="007E6F01">
        <w:t xml:space="preserve"> </w:t>
      </w:r>
      <w:r>
        <w:t>&lt;</w:t>
      </w:r>
      <w:hyperlink r:id="rId6" w:history="1">
        <w:r w:rsidRPr="0053034F">
          <w:rPr>
            <w:rStyle w:val="Hyperlink"/>
          </w:rPr>
          <w:t>http://commission-on-legal-pluralism.com/volumes/64/farran-art.pdf</w:t>
        </w:r>
      </w:hyperlink>
      <w:r>
        <w:t>&gt;.</w:t>
      </w:r>
      <w:proofErr w:type="gramEnd"/>
    </w:p>
  </w:footnote>
  <w:footnote w:id="11">
    <w:p w:rsidR="007211D0" w:rsidRDefault="007211D0" w:rsidP="00FC0D13">
      <w:pPr>
        <w:pStyle w:val="FootnoteText"/>
      </w:pPr>
      <w:r>
        <w:rPr>
          <w:rStyle w:val="FootnoteReference"/>
        </w:rPr>
        <w:footnoteRef/>
      </w:r>
      <w:r>
        <w:t xml:space="preserve"> </w:t>
      </w:r>
      <w:r w:rsidRPr="002D70B5">
        <w:t>Australian Agency for International Development</w:t>
      </w:r>
      <w:r>
        <w:t xml:space="preserve"> (</w:t>
      </w:r>
      <w:proofErr w:type="spellStart"/>
      <w:r>
        <w:t>AusAID</w:t>
      </w:r>
      <w:proofErr w:type="spellEnd"/>
      <w:r>
        <w:t xml:space="preserve">), (2008) </w:t>
      </w:r>
      <w:r w:rsidRPr="002D70B5">
        <w:rPr>
          <w:i/>
        </w:rPr>
        <w:t xml:space="preserve">Making Land Work: </w:t>
      </w:r>
      <w:r>
        <w:rPr>
          <w:i/>
        </w:rPr>
        <w:t xml:space="preserve">Volume One - </w:t>
      </w:r>
      <w:r w:rsidRPr="002D70B5">
        <w:rPr>
          <w:i/>
        </w:rPr>
        <w:t>Reconciling Customary Land and Development in the Pacific</w:t>
      </w:r>
      <w:r>
        <w:t xml:space="preserve"> 1 &lt;</w:t>
      </w:r>
      <w:hyperlink r:id="rId7" w:history="1">
        <w:r w:rsidRPr="000E2F39">
          <w:rPr>
            <w:rStyle w:val="Hyperlink"/>
          </w:rPr>
          <w:t>http://dfat.gov.au/about-us/publications/Documents/MLW_VolumeOne_Bookmarked.pdf</w:t>
        </w:r>
      </w:hyperlink>
      <w:r>
        <w:t>&gt;.</w:t>
      </w:r>
    </w:p>
  </w:footnote>
  <w:footnote w:id="12">
    <w:p w:rsidR="007211D0" w:rsidRDefault="007211D0">
      <w:pPr>
        <w:pStyle w:val="FootnoteText"/>
      </w:pPr>
      <w:r>
        <w:rPr>
          <w:rStyle w:val="FootnoteReference"/>
        </w:rPr>
        <w:footnoteRef/>
      </w:r>
      <w:r>
        <w:t xml:space="preserve"> </w:t>
      </w:r>
      <w:r w:rsidRPr="00850C37">
        <w:rPr>
          <w:i/>
        </w:rPr>
        <w:t>Land and Titles Act</w:t>
      </w:r>
      <w:r>
        <w:t xml:space="preserve"> </w:t>
      </w:r>
      <w:proofErr w:type="spellStart"/>
      <w:r>
        <w:t>ss</w:t>
      </w:r>
      <w:proofErr w:type="spellEnd"/>
      <w:r>
        <w:t xml:space="preserve"> 2, 24, 102.</w:t>
      </w:r>
    </w:p>
  </w:footnote>
  <w:footnote w:id="13">
    <w:p w:rsidR="007211D0" w:rsidRDefault="007211D0">
      <w:pPr>
        <w:pStyle w:val="FootnoteText"/>
      </w:pPr>
      <w:r>
        <w:rPr>
          <w:rStyle w:val="FootnoteReference"/>
        </w:rPr>
        <w:footnoteRef/>
      </w:r>
      <w:r>
        <w:t xml:space="preserve"> </w:t>
      </w:r>
      <w:proofErr w:type="gramStart"/>
      <w:r w:rsidRPr="00B5487B">
        <w:rPr>
          <w:i/>
        </w:rPr>
        <w:t>Land and Titles Act</w:t>
      </w:r>
      <w:r>
        <w:t>, s 88(1).</w:t>
      </w:r>
      <w:proofErr w:type="gramEnd"/>
    </w:p>
  </w:footnote>
  <w:footnote w:id="14">
    <w:p w:rsidR="007211D0" w:rsidRDefault="007211D0" w:rsidP="00FC0D13">
      <w:pPr>
        <w:pStyle w:val="FootnoteText"/>
      </w:pPr>
      <w:r>
        <w:rPr>
          <w:rStyle w:val="FootnoteReference"/>
        </w:rPr>
        <w:footnoteRef/>
      </w:r>
      <w:r>
        <w:t xml:space="preserve"> </w:t>
      </w:r>
      <w:r w:rsidRPr="00850C37">
        <w:rPr>
          <w:i/>
        </w:rPr>
        <w:t>Land and Titles Act</w:t>
      </w:r>
      <w:r>
        <w:t xml:space="preserve"> s 2.</w:t>
      </w:r>
    </w:p>
  </w:footnote>
  <w:footnote w:id="15">
    <w:p w:rsidR="007211D0" w:rsidRDefault="007211D0" w:rsidP="00FC0D13">
      <w:pPr>
        <w:pStyle w:val="FootnoteText"/>
      </w:pPr>
      <w:r>
        <w:rPr>
          <w:rStyle w:val="FootnoteReference"/>
        </w:rPr>
        <w:footnoteRef/>
      </w:r>
      <w:r>
        <w:t xml:space="preserve"> </w:t>
      </w:r>
      <w:proofErr w:type="gramStart"/>
      <w:r>
        <w:rPr>
          <w:i/>
        </w:rPr>
        <w:t xml:space="preserve">Constitution of </w:t>
      </w:r>
      <w:r w:rsidRPr="009D64BA">
        <w:rPr>
          <w:i/>
        </w:rPr>
        <w:t>Solomon Islands</w:t>
      </w:r>
      <w:r w:rsidRPr="00FE49AA">
        <w:rPr>
          <w:i/>
        </w:rPr>
        <w:t xml:space="preserve"> 1978 </w:t>
      </w:r>
      <w:r>
        <w:t>s 110 &lt;</w:t>
      </w:r>
      <w:hyperlink r:id="rId8" w:history="1">
        <w:r w:rsidRPr="000E2F39">
          <w:rPr>
            <w:rStyle w:val="Hyperlink"/>
          </w:rPr>
          <w:t>http://www.paclii.org/sb/legis/consol_act/c1978167/</w:t>
        </w:r>
      </w:hyperlink>
      <w:r>
        <w:t>&gt;.</w:t>
      </w:r>
      <w:proofErr w:type="gramEnd"/>
    </w:p>
  </w:footnote>
  <w:footnote w:id="16">
    <w:p w:rsidR="007211D0" w:rsidRDefault="007211D0" w:rsidP="00FC0D13">
      <w:pPr>
        <w:pStyle w:val="FootnoteText"/>
      </w:pPr>
      <w:r>
        <w:rPr>
          <w:rStyle w:val="FootnoteReference"/>
        </w:rPr>
        <w:footnoteRef/>
      </w:r>
      <w:r>
        <w:t xml:space="preserve"> The class of persons prescribed by parliament to hold or acquire a perpetual interest in land is listed in the </w:t>
      </w:r>
      <w:r w:rsidRPr="002967DC">
        <w:rPr>
          <w:i/>
        </w:rPr>
        <w:t xml:space="preserve">Land and Titles Act </w:t>
      </w:r>
      <w:r>
        <w:t>s 112(4).</w:t>
      </w:r>
    </w:p>
  </w:footnote>
  <w:footnote w:id="17">
    <w:p w:rsidR="007211D0" w:rsidRDefault="007211D0" w:rsidP="00FC0D13">
      <w:pPr>
        <w:pStyle w:val="FootnoteText"/>
      </w:pPr>
      <w:r>
        <w:rPr>
          <w:rStyle w:val="FootnoteReference"/>
        </w:rPr>
        <w:footnoteRef/>
      </w:r>
      <w:r>
        <w:t xml:space="preserve"> </w:t>
      </w:r>
      <w:r w:rsidRPr="009538FC">
        <w:rPr>
          <w:i/>
        </w:rPr>
        <w:t>Land and Titles Act</w:t>
      </w:r>
      <w:r>
        <w:t xml:space="preserve"> s 112(1).</w:t>
      </w:r>
    </w:p>
  </w:footnote>
  <w:footnote w:id="18">
    <w:p w:rsidR="007211D0" w:rsidRDefault="007211D0" w:rsidP="00FC0D13">
      <w:pPr>
        <w:pStyle w:val="FootnoteText"/>
      </w:pPr>
      <w:r>
        <w:rPr>
          <w:rStyle w:val="FootnoteReference"/>
        </w:rPr>
        <w:footnoteRef/>
      </w:r>
      <w:r>
        <w:t xml:space="preserve"> </w:t>
      </w:r>
      <w:r w:rsidRPr="00B5487B">
        <w:rPr>
          <w:i/>
        </w:rPr>
        <w:t>Land and Titles Act</w:t>
      </w:r>
      <w:r>
        <w:t xml:space="preserve"> s 132(1</w:t>
      </w:r>
      <w:proofErr w:type="gramStart"/>
      <w:r>
        <w:t>)(</w:t>
      </w:r>
      <w:proofErr w:type="gramEnd"/>
      <w:r>
        <w:t>b).</w:t>
      </w:r>
    </w:p>
  </w:footnote>
  <w:footnote w:id="19">
    <w:p w:rsidR="007211D0" w:rsidRDefault="007211D0" w:rsidP="00FC0D13">
      <w:pPr>
        <w:pStyle w:val="FootnoteText"/>
      </w:pPr>
      <w:r>
        <w:rPr>
          <w:rStyle w:val="FootnoteReference"/>
        </w:rPr>
        <w:footnoteRef/>
      </w:r>
      <w:r>
        <w:t xml:space="preserve"> </w:t>
      </w:r>
      <w:r w:rsidRPr="009538FC">
        <w:rPr>
          <w:i/>
        </w:rPr>
        <w:t>Land and Titles Act</w:t>
      </w:r>
      <w:r>
        <w:t xml:space="preserve"> s 113(1).</w:t>
      </w:r>
    </w:p>
  </w:footnote>
  <w:footnote w:id="20">
    <w:p w:rsidR="007211D0" w:rsidRDefault="007211D0" w:rsidP="00FC0D13">
      <w:pPr>
        <w:pStyle w:val="FootnoteText"/>
      </w:pPr>
      <w:r>
        <w:rPr>
          <w:rStyle w:val="FootnoteReference"/>
        </w:rPr>
        <w:footnoteRef/>
      </w:r>
      <w:r>
        <w:t xml:space="preserve"> </w:t>
      </w:r>
      <w:r w:rsidRPr="005F4EA7">
        <w:rPr>
          <w:i/>
        </w:rPr>
        <w:t>Land and Titles Act</w:t>
      </w:r>
      <w:r>
        <w:t xml:space="preserve"> s 132(1</w:t>
      </w:r>
      <w:proofErr w:type="gramStart"/>
      <w:r>
        <w:t>)(</w:t>
      </w:r>
      <w:proofErr w:type="gramEnd"/>
      <w:r>
        <w:t>b).</w:t>
      </w:r>
    </w:p>
  </w:footnote>
  <w:footnote w:id="21">
    <w:p w:rsidR="007211D0" w:rsidRDefault="007211D0" w:rsidP="00FC0D13">
      <w:pPr>
        <w:pStyle w:val="FootnoteText"/>
      </w:pPr>
      <w:r>
        <w:rPr>
          <w:rStyle w:val="FootnoteReference"/>
        </w:rPr>
        <w:footnoteRef/>
      </w:r>
      <w:r>
        <w:t xml:space="preserve"> </w:t>
      </w:r>
      <w:r w:rsidRPr="005F4EA7">
        <w:rPr>
          <w:i/>
        </w:rPr>
        <w:t>Land and Titles Act</w:t>
      </w:r>
      <w:r>
        <w:t xml:space="preserve"> s 101(2).</w:t>
      </w:r>
    </w:p>
  </w:footnote>
  <w:footnote w:id="22">
    <w:p w:rsidR="007211D0" w:rsidRDefault="007211D0" w:rsidP="00FC0D13">
      <w:pPr>
        <w:pStyle w:val="FootnoteText"/>
      </w:pPr>
      <w:r>
        <w:rPr>
          <w:rStyle w:val="FootnoteReference"/>
        </w:rPr>
        <w:footnoteRef/>
      </w:r>
      <w:r>
        <w:t xml:space="preserve"> Solomon Islands Government, Ministry of Lands, Housing and Survey, (2016) </w:t>
      </w:r>
      <w:r w:rsidRPr="00924B28">
        <w:rPr>
          <w:i/>
        </w:rPr>
        <w:t>White Paper</w:t>
      </w:r>
      <w:r>
        <w:rPr>
          <w:i/>
        </w:rPr>
        <w:t>:</w:t>
      </w:r>
      <w:r w:rsidRPr="00924B28">
        <w:rPr>
          <w:i/>
        </w:rPr>
        <w:t xml:space="preserve"> Strata Title in Solomon </w:t>
      </w:r>
      <w:proofErr w:type="gramStart"/>
      <w:r w:rsidRPr="00924B28">
        <w:rPr>
          <w:i/>
        </w:rPr>
        <w:t>Islands</w:t>
      </w:r>
      <w:r>
        <w:t xml:space="preserve">  &lt;</w:t>
      </w:r>
      <w:proofErr w:type="gramEnd"/>
      <w:r w:rsidR="00506C03">
        <w:fldChar w:fldCharType="begin"/>
      </w:r>
      <w:r w:rsidR="00506C03">
        <w:instrText xml:space="preserve"> HYPERLINK "http://www.lands.gov.sb/resources/ministry-documents/spc-dfat-input.html?layout=columns" </w:instrText>
      </w:r>
      <w:r w:rsidR="00506C03">
        <w:fldChar w:fldCharType="separate"/>
      </w:r>
      <w:r w:rsidRPr="00DD4365">
        <w:rPr>
          <w:rStyle w:val="Hyperlink"/>
        </w:rPr>
        <w:t>http://www.lands.gov.sb/resources/ministry-documents/spc-dfat-input.html?layout=columns</w:t>
      </w:r>
      <w:r w:rsidR="00506C03">
        <w:rPr>
          <w:rStyle w:val="Hyperlink"/>
        </w:rPr>
        <w:fldChar w:fldCharType="end"/>
      </w:r>
      <w:r>
        <w:t>&gt;.</w:t>
      </w:r>
    </w:p>
  </w:footnote>
  <w:footnote w:id="23">
    <w:p w:rsidR="007211D0" w:rsidRDefault="007211D0" w:rsidP="00FC0D13">
      <w:pPr>
        <w:pStyle w:val="FootnoteText"/>
      </w:pPr>
      <w:r>
        <w:rPr>
          <w:rStyle w:val="FootnoteReference"/>
        </w:rPr>
        <w:footnoteRef/>
      </w:r>
      <w:r>
        <w:t xml:space="preserve"> </w:t>
      </w:r>
      <w:r w:rsidRPr="005F4EA7">
        <w:rPr>
          <w:i/>
        </w:rPr>
        <w:t>Land and Titles Act</w:t>
      </w:r>
      <w:r>
        <w:t xml:space="preserve"> s 143(1).</w:t>
      </w:r>
    </w:p>
  </w:footnote>
  <w:footnote w:id="24">
    <w:p w:rsidR="007211D0" w:rsidRDefault="007211D0" w:rsidP="00FC0D13">
      <w:pPr>
        <w:pStyle w:val="FootnoteText"/>
      </w:pPr>
      <w:r>
        <w:rPr>
          <w:rStyle w:val="FootnoteReference"/>
        </w:rPr>
        <w:footnoteRef/>
      </w:r>
      <w:r>
        <w:t xml:space="preserve"> </w:t>
      </w:r>
      <w:r w:rsidRPr="00D06D5F">
        <w:rPr>
          <w:i/>
        </w:rPr>
        <w:t xml:space="preserve">Land and Titles Act </w:t>
      </w:r>
      <w:r>
        <w:t>s 143(2).</w:t>
      </w:r>
    </w:p>
  </w:footnote>
  <w:footnote w:id="25">
    <w:p w:rsidR="007211D0" w:rsidRPr="004605C6" w:rsidRDefault="007211D0" w:rsidP="00FC0D13">
      <w:pPr>
        <w:pStyle w:val="FootnoteText"/>
        <w:rPr>
          <w:lang w:val="en-US"/>
        </w:rPr>
      </w:pPr>
      <w:r>
        <w:rPr>
          <w:rStyle w:val="FootnoteReference"/>
        </w:rPr>
        <w:footnoteRef/>
      </w:r>
      <w:r>
        <w:t xml:space="preserve"> </w:t>
      </w:r>
      <w:r w:rsidRPr="00F36D98">
        <w:rPr>
          <w:i/>
        </w:rPr>
        <w:t xml:space="preserve">Land and Titles Act </w:t>
      </w:r>
      <w:r>
        <w:t>s 144(1).</w:t>
      </w:r>
    </w:p>
  </w:footnote>
  <w:footnote w:id="26">
    <w:p w:rsidR="007211D0" w:rsidRDefault="007211D0" w:rsidP="00FC0D13">
      <w:pPr>
        <w:pStyle w:val="FootnoteText"/>
      </w:pPr>
      <w:r>
        <w:rPr>
          <w:rStyle w:val="FootnoteReference"/>
        </w:rPr>
        <w:footnoteRef/>
      </w:r>
      <w:r>
        <w:t xml:space="preserve"> </w:t>
      </w:r>
      <w:r w:rsidRPr="004A3C1D">
        <w:rPr>
          <w:i/>
        </w:rPr>
        <w:t xml:space="preserve">Land and Titles </w:t>
      </w:r>
      <w:r>
        <w:t>Act s 114.</w:t>
      </w:r>
    </w:p>
  </w:footnote>
  <w:footnote w:id="27">
    <w:p w:rsidR="007211D0" w:rsidRDefault="007211D0" w:rsidP="00FC0D13">
      <w:pPr>
        <w:pStyle w:val="FootnoteText"/>
      </w:pPr>
      <w:r>
        <w:rPr>
          <w:rStyle w:val="FootnoteReference"/>
        </w:rPr>
        <w:footnoteRef/>
      </w:r>
      <w:r>
        <w:t xml:space="preserve"> </w:t>
      </w:r>
      <w:r w:rsidRPr="00F36D98">
        <w:rPr>
          <w:i/>
        </w:rPr>
        <w:t xml:space="preserve">Land and Titles Act </w:t>
      </w:r>
      <w:proofErr w:type="spellStart"/>
      <w:r>
        <w:t>ss</w:t>
      </w:r>
      <w:proofErr w:type="spellEnd"/>
      <w:r>
        <w:t xml:space="preserve"> 147</w:t>
      </w:r>
      <w:r>
        <w:rPr>
          <w:rFonts w:cs="Arial"/>
        </w:rPr>
        <w:t>–</w:t>
      </w:r>
      <w:r>
        <w:t>8.</w:t>
      </w:r>
    </w:p>
  </w:footnote>
  <w:footnote w:id="28">
    <w:p w:rsidR="007211D0" w:rsidRDefault="007211D0" w:rsidP="00FC0D13">
      <w:pPr>
        <w:pStyle w:val="FootnoteText"/>
      </w:pPr>
      <w:r>
        <w:rPr>
          <w:rStyle w:val="FootnoteReference"/>
        </w:rPr>
        <w:footnoteRef/>
      </w:r>
      <w:r>
        <w:t xml:space="preserve"> </w:t>
      </w:r>
      <w:r w:rsidRPr="00C80724">
        <w:rPr>
          <w:i/>
        </w:rPr>
        <w:t>Australian Agency for International Development (</w:t>
      </w:r>
      <w:proofErr w:type="spellStart"/>
      <w:r w:rsidRPr="00C80724">
        <w:rPr>
          <w:i/>
        </w:rPr>
        <w:t>AusAID</w:t>
      </w:r>
      <w:proofErr w:type="spellEnd"/>
      <w:r w:rsidRPr="00C80724">
        <w:rPr>
          <w:i/>
        </w:rPr>
        <w:t xml:space="preserve">), 'Making Land Work: Volume Two - Informal Land Systems within Urban Settlements in Honiara and Port Moresby' (2008) Department of Foreign Affairs and Trade 2 </w:t>
      </w:r>
      <w:r w:rsidRPr="00D83BAC">
        <w:t>&lt;</w:t>
      </w:r>
      <w:hyperlink r:id="rId9" w:history="1">
        <w:r w:rsidRPr="00D83BAC">
          <w:rPr>
            <w:rStyle w:val="Hyperlink"/>
          </w:rPr>
          <w:t>http://dfat.gov.au/about-us/publications/Documents/MLW_VolumeTwo_CaseStudy_5.pdf</w:t>
        </w:r>
      </w:hyperlink>
      <w:r w:rsidRPr="00D83BAC">
        <w:t>&gt;</w:t>
      </w:r>
      <w:r w:rsidRPr="00C80724">
        <w:rPr>
          <w:i/>
        </w:rPr>
        <w:t>; United Nation Human Settlements Programme (UN-Habitat) 'Solomon Islands: Honiara Urban Profile' (2012) UN-Habitat Urban Profiles</w:t>
      </w:r>
      <w:r>
        <w:t>.</w:t>
      </w:r>
    </w:p>
  </w:footnote>
  <w:footnote w:id="29">
    <w:p w:rsidR="007211D0" w:rsidRDefault="007211D0" w:rsidP="00FC0D13">
      <w:pPr>
        <w:pStyle w:val="FootnoteText"/>
      </w:pPr>
      <w:r>
        <w:rPr>
          <w:rStyle w:val="FootnoteReference"/>
        </w:rPr>
        <w:footnoteRef/>
      </w:r>
      <w:r>
        <w:t xml:space="preserve"> </w:t>
      </w:r>
      <w:r w:rsidRPr="00B5487B">
        <w:rPr>
          <w:i/>
        </w:rPr>
        <w:t xml:space="preserve">Land and Titles Act s </w:t>
      </w:r>
      <w:r>
        <w:t>82(1).</w:t>
      </w:r>
    </w:p>
  </w:footnote>
  <w:footnote w:id="30">
    <w:p w:rsidR="007211D0" w:rsidRDefault="007211D0" w:rsidP="00FC0D13">
      <w:pPr>
        <w:pStyle w:val="FootnoteText"/>
      </w:pPr>
      <w:r>
        <w:rPr>
          <w:rStyle w:val="FootnoteReference"/>
        </w:rPr>
        <w:footnoteRef/>
      </w:r>
      <w:r>
        <w:t xml:space="preserve"> </w:t>
      </w:r>
      <w:r w:rsidRPr="00B5487B">
        <w:rPr>
          <w:i/>
        </w:rPr>
        <w:t xml:space="preserve">Land and Titles Act </w:t>
      </w:r>
      <w:proofErr w:type="spellStart"/>
      <w:r>
        <w:t>ss</w:t>
      </w:r>
      <w:proofErr w:type="spellEnd"/>
      <w:r>
        <w:t xml:space="preserve"> 82(1)–(2).</w:t>
      </w:r>
    </w:p>
  </w:footnote>
  <w:footnote w:id="31">
    <w:p w:rsidR="007211D0" w:rsidRDefault="007211D0" w:rsidP="00FC0D13">
      <w:pPr>
        <w:pStyle w:val="FootnoteText"/>
      </w:pPr>
      <w:r>
        <w:rPr>
          <w:rStyle w:val="FootnoteReference"/>
        </w:rPr>
        <w:footnoteRef/>
      </w:r>
      <w:r>
        <w:t xml:space="preserve"> </w:t>
      </w:r>
      <w:r w:rsidRPr="00786F36">
        <w:t>United Nation Human Settlements Programme (UN-Habitat)</w:t>
      </w:r>
      <w:r>
        <w:t xml:space="preserve"> '</w:t>
      </w:r>
      <w:r w:rsidRPr="00E37513">
        <w:t>Solomon Islands: Honiara Urban Profile</w:t>
      </w:r>
      <w:r>
        <w:t>'</w:t>
      </w:r>
      <w:r>
        <w:rPr>
          <w:i/>
        </w:rPr>
        <w:t xml:space="preserve"> </w:t>
      </w:r>
      <w:r>
        <w:t xml:space="preserve">(2012) </w:t>
      </w:r>
      <w:r w:rsidRPr="00E37513">
        <w:rPr>
          <w:i/>
        </w:rPr>
        <w:t>UN-Habita</w:t>
      </w:r>
      <w:r>
        <w:rPr>
          <w:i/>
        </w:rPr>
        <w:t>t Urban Profiles</w:t>
      </w:r>
      <w:r w:rsidRPr="00181C8E">
        <w:t>.</w:t>
      </w:r>
    </w:p>
  </w:footnote>
  <w:footnote w:id="32">
    <w:p w:rsidR="007211D0" w:rsidRDefault="007211D0" w:rsidP="00FC0D13">
      <w:pPr>
        <w:pStyle w:val="FootnoteText"/>
      </w:pPr>
      <w:r>
        <w:rPr>
          <w:rStyle w:val="FootnoteReference"/>
        </w:rPr>
        <w:footnoteRef/>
      </w:r>
      <w:r>
        <w:t xml:space="preserve"> Solomon Islands Government, Ministry of Lands, Housing and Survey, (2016) </w:t>
      </w:r>
      <w:r w:rsidRPr="00924B28">
        <w:rPr>
          <w:i/>
        </w:rPr>
        <w:t>White Paper</w:t>
      </w:r>
      <w:r>
        <w:rPr>
          <w:i/>
        </w:rPr>
        <w:t>:</w:t>
      </w:r>
      <w:r w:rsidRPr="00924B28">
        <w:rPr>
          <w:i/>
        </w:rPr>
        <w:t xml:space="preserve"> Strata Title in Solomon Islands</w:t>
      </w:r>
      <w:r>
        <w:t xml:space="preserve"> &lt;</w:t>
      </w:r>
      <w:hyperlink r:id="rId10" w:history="1">
        <w:r w:rsidRPr="00DD4365">
          <w:rPr>
            <w:rStyle w:val="Hyperlink"/>
          </w:rPr>
          <w:t>http://www.lands.gov.sb/resources/ministry-documents/spc-dfat-input.html?layout=columns</w:t>
        </w:r>
      </w:hyperlink>
      <w:r>
        <w:t>&gt;.</w:t>
      </w:r>
    </w:p>
  </w:footnote>
  <w:footnote w:id="33">
    <w:p w:rsidR="007211D0" w:rsidRDefault="007211D0" w:rsidP="00FC0D13">
      <w:pPr>
        <w:pStyle w:val="FootnoteText"/>
      </w:pPr>
      <w:r>
        <w:rPr>
          <w:rStyle w:val="FootnoteReference"/>
        </w:rPr>
        <w:footnoteRef/>
      </w:r>
      <w:r>
        <w:t xml:space="preserve"> Solomon Islands Government, Ministry of Lands, Housing and Survey, (2016</w:t>
      </w:r>
      <w:proofErr w:type="gramStart"/>
      <w:r>
        <w:t xml:space="preserve">)  </w:t>
      </w:r>
      <w:r w:rsidRPr="00B5487B">
        <w:rPr>
          <w:i/>
        </w:rPr>
        <w:t>Media</w:t>
      </w:r>
      <w:proofErr w:type="gramEnd"/>
      <w:r w:rsidRPr="00B5487B">
        <w:rPr>
          <w:i/>
        </w:rPr>
        <w:t xml:space="preserve"> Release: Strata on the Way</w:t>
      </w:r>
      <w:r>
        <w:t xml:space="preserve"> &lt;</w:t>
      </w:r>
      <w:hyperlink r:id="rId11" w:history="1">
        <w:r w:rsidRPr="00DD4365">
          <w:rPr>
            <w:rStyle w:val="Hyperlink"/>
          </w:rPr>
          <w:t>http://www.lands.gov.sb/media-releases/32-strata-title-on-the-way.html</w:t>
        </w:r>
      </w:hyperlink>
      <w:r>
        <w:t xml:space="preserve">&gt;. </w:t>
      </w:r>
    </w:p>
  </w:footnote>
  <w:footnote w:id="34">
    <w:p w:rsidR="007211D0" w:rsidRDefault="007211D0" w:rsidP="00FC0D13">
      <w:pPr>
        <w:pStyle w:val="FootnoteText"/>
      </w:pPr>
      <w:r>
        <w:rPr>
          <w:rStyle w:val="FootnoteReference"/>
        </w:rPr>
        <w:footnoteRef/>
      </w:r>
      <w:r>
        <w:t xml:space="preserve"> Email from Alan McNeil, Chief Technical Advisor at the Solomon Islands Ministry of Lands, Housing and Survey, to Mark </w:t>
      </w:r>
      <w:proofErr w:type="spellStart"/>
      <w:r>
        <w:t>Leersnyder</w:t>
      </w:r>
      <w:proofErr w:type="spellEnd"/>
      <w:r>
        <w:t>, 19 February 2017.</w:t>
      </w:r>
    </w:p>
  </w:footnote>
  <w:footnote w:id="35">
    <w:p w:rsidR="007211D0" w:rsidRPr="00D763F4" w:rsidRDefault="007211D0" w:rsidP="00FC0D13">
      <w:pPr>
        <w:pStyle w:val="FootnoteText"/>
        <w:rPr>
          <w:lang w:val="en-US"/>
        </w:rPr>
      </w:pPr>
      <w:r>
        <w:rPr>
          <w:rStyle w:val="FootnoteReference"/>
        </w:rPr>
        <w:footnoteRef/>
      </w:r>
      <w:r>
        <w:t xml:space="preserve"> Ministry of Lands, Housing and Survey, 'Strata Title on the Way' (Media release</w:t>
      </w:r>
      <w:proofErr w:type="gramStart"/>
      <w:r>
        <w:t xml:space="preserve">) </w:t>
      </w:r>
      <w:r>
        <w:rPr>
          <w:lang w:val="en-US"/>
        </w:rPr>
        <w:t>,</w:t>
      </w:r>
      <w:proofErr w:type="gramEnd"/>
      <w:r>
        <w:rPr>
          <w:lang w:val="en-US"/>
        </w:rPr>
        <w:t xml:space="preserve"> </w:t>
      </w:r>
      <w:r>
        <w:t>&lt;</w:t>
      </w:r>
      <w:hyperlink r:id="rId12" w:history="1">
        <w:r w:rsidRPr="000D206C">
          <w:rPr>
            <w:rStyle w:val="Hyperlink"/>
          </w:rPr>
          <w:t>http://www.lands.gov.sb/media-releases/32-strata-title-on-the-way.htm</w:t>
        </w:r>
      </w:hyperlink>
      <w:r w:rsidRPr="00335039">
        <w:t>l</w:t>
      </w:r>
      <w:r>
        <w:t>&gt;.</w:t>
      </w:r>
    </w:p>
  </w:footnote>
  <w:footnote w:id="36">
    <w:p w:rsidR="007211D0" w:rsidRPr="00D235B2" w:rsidRDefault="007211D0" w:rsidP="00FC0D13">
      <w:pPr>
        <w:pStyle w:val="FootnoteText"/>
        <w:rPr>
          <w:lang w:val="en-US"/>
        </w:rPr>
      </w:pPr>
      <w:r>
        <w:rPr>
          <w:rStyle w:val="FootnoteReference"/>
        </w:rPr>
        <w:footnoteRef/>
      </w:r>
      <w:r>
        <w:t xml:space="preserve"> </w:t>
      </w:r>
      <w:r w:rsidRPr="00D235B2">
        <w:rPr>
          <w:i/>
          <w:lang w:val="en-US"/>
        </w:rPr>
        <w:t>Land and Titles Act</w:t>
      </w:r>
      <w:r>
        <w:rPr>
          <w:lang w:val="en-US"/>
        </w:rPr>
        <w:t xml:space="preserve"> s 109.</w:t>
      </w:r>
    </w:p>
  </w:footnote>
  <w:footnote w:id="37">
    <w:p w:rsidR="007211D0" w:rsidRPr="00DF71FF" w:rsidRDefault="007211D0" w:rsidP="00FC0D13">
      <w:pPr>
        <w:pStyle w:val="FootnoteText"/>
        <w:rPr>
          <w:lang w:val="en-US"/>
        </w:rPr>
      </w:pPr>
      <w:r>
        <w:rPr>
          <w:rStyle w:val="FootnoteReference"/>
        </w:rPr>
        <w:footnoteRef/>
      </w:r>
      <w:r>
        <w:t xml:space="preserve"> </w:t>
      </w:r>
      <w:r>
        <w:rPr>
          <w:i/>
          <w:lang w:val="en-US"/>
        </w:rPr>
        <w:t xml:space="preserve">Land and Titles Act </w:t>
      </w:r>
      <w:r>
        <w:rPr>
          <w:lang w:val="en-US"/>
        </w:rPr>
        <w:t>s 114.</w:t>
      </w:r>
    </w:p>
  </w:footnote>
  <w:footnote w:id="38">
    <w:p w:rsidR="007211D0" w:rsidRDefault="007211D0" w:rsidP="00FC0D13">
      <w:pPr>
        <w:pStyle w:val="FootnoteText"/>
      </w:pPr>
      <w:r>
        <w:rPr>
          <w:rStyle w:val="FootnoteReference"/>
        </w:rPr>
        <w:footnoteRef/>
      </w:r>
      <w:r>
        <w:t xml:space="preserve"> </w:t>
      </w:r>
      <w:r w:rsidRPr="000E37B9">
        <w:rPr>
          <w:i/>
        </w:rPr>
        <w:t>Land and Titles Act</w:t>
      </w:r>
      <w:r>
        <w:t xml:space="preserve"> s 138.</w:t>
      </w:r>
    </w:p>
  </w:footnote>
  <w:footnote w:id="39">
    <w:p w:rsidR="007211D0" w:rsidRDefault="007211D0" w:rsidP="00FC0D13">
      <w:pPr>
        <w:pStyle w:val="FootnoteText"/>
      </w:pPr>
      <w:r>
        <w:rPr>
          <w:rStyle w:val="FootnoteReference"/>
        </w:rPr>
        <w:footnoteRef/>
      </w:r>
      <w:r>
        <w:t xml:space="preserve"> </w:t>
      </w:r>
      <w:r w:rsidRPr="000E37B9">
        <w:rPr>
          <w:i/>
        </w:rPr>
        <w:t xml:space="preserve">Land and Titles Act </w:t>
      </w:r>
      <w:r>
        <w:t>s 136.</w:t>
      </w:r>
    </w:p>
  </w:footnote>
  <w:footnote w:id="40">
    <w:p w:rsidR="007211D0" w:rsidRDefault="007211D0" w:rsidP="00FC0D13">
      <w:pPr>
        <w:pStyle w:val="FootnoteText"/>
      </w:pPr>
      <w:r>
        <w:rPr>
          <w:rStyle w:val="FootnoteReference"/>
        </w:rPr>
        <w:footnoteRef/>
      </w:r>
      <w:r>
        <w:t xml:space="preserve"> </w:t>
      </w:r>
      <w:r w:rsidRPr="005C65CC">
        <w:rPr>
          <w:i/>
        </w:rPr>
        <w:t>L</w:t>
      </w:r>
      <w:r w:rsidRPr="000E37B9">
        <w:rPr>
          <w:i/>
        </w:rPr>
        <w:t xml:space="preserve">and and Titles Act </w:t>
      </w:r>
      <w:r>
        <w:t>s 137.</w:t>
      </w:r>
    </w:p>
  </w:footnote>
  <w:footnote w:id="41">
    <w:p w:rsidR="007211D0" w:rsidRDefault="007211D0" w:rsidP="00FC0D13">
      <w:pPr>
        <w:pStyle w:val="FootnoteText"/>
      </w:pPr>
      <w:r>
        <w:rPr>
          <w:rStyle w:val="FootnoteReference"/>
        </w:rPr>
        <w:footnoteRef/>
      </w:r>
      <w:r>
        <w:t xml:space="preserve"> </w:t>
      </w:r>
      <w:r w:rsidRPr="001D3292">
        <w:rPr>
          <w:i/>
        </w:rPr>
        <w:t>Land and Titles Act</w:t>
      </w:r>
      <w:r>
        <w:t xml:space="preserve"> s 139.</w:t>
      </w:r>
    </w:p>
  </w:footnote>
  <w:footnote w:id="42">
    <w:p w:rsidR="007211D0" w:rsidRPr="0083711C" w:rsidRDefault="007211D0" w:rsidP="00FC0D13">
      <w:pPr>
        <w:pStyle w:val="FootnoteText"/>
        <w:rPr>
          <w:lang w:val="en-US"/>
        </w:rPr>
      </w:pPr>
      <w:r>
        <w:rPr>
          <w:rStyle w:val="FootnoteReference"/>
        </w:rPr>
        <w:footnoteRef/>
      </w:r>
      <w:r>
        <w:t xml:space="preserve"> </w:t>
      </w:r>
      <w:r w:rsidRPr="00786F36">
        <w:t>United Nation Human Settlements Programme (UN-Habitat)</w:t>
      </w:r>
      <w:r>
        <w:t xml:space="preserve"> '</w:t>
      </w:r>
      <w:r w:rsidRPr="00E37513">
        <w:t>Solomon Islands: Honiara Urban Profile</w:t>
      </w:r>
      <w:r>
        <w:t>'</w:t>
      </w:r>
      <w:r>
        <w:rPr>
          <w:i/>
        </w:rPr>
        <w:t xml:space="preserve"> </w:t>
      </w:r>
      <w:r>
        <w:t xml:space="preserve">(2012) </w:t>
      </w:r>
      <w:r w:rsidRPr="00E37513">
        <w:rPr>
          <w:i/>
        </w:rPr>
        <w:t>UN-Habita</w:t>
      </w:r>
      <w:r>
        <w:rPr>
          <w:i/>
        </w:rPr>
        <w:t>t Urban Profiles</w:t>
      </w:r>
      <w:r w:rsidRPr="0083711C">
        <w:t>, 16</w:t>
      </w:r>
      <w:r w:rsidRPr="00181C8E">
        <w:t>.</w:t>
      </w:r>
    </w:p>
  </w:footnote>
  <w:footnote w:id="43">
    <w:p w:rsidR="007211D0" w:rsidRDefault="007211D0" w:rsidP="00FC0D13">
      <w:pPr>
        <w:pStyle w:val="FootnoteText"/>
      </w:pPr>
      <w:r>
        <w:rPr>
          <w:rStyle w:val="FootnoteReference"/>
        </w:rPr>
        <w:footnoteRef/>
      </w:r>
      <w:r>
        <w:t xml:space="preserve"> </w:t>
      </w:r>
      <w:r w:rsidRPr="002D70B5">
        <w:t>Australian Agency for International Development</w:t>
      </w:r>
      <w:r>
        <w:t xml:space="preserve"> (</w:t>
      </w:r>
      <w:proofErr w:type="spellStart"/>
      <w:r>
        <w:t>AusAID</w:t>
      </w:r>
      <w:proofErr w:type="spellEnd"/>
      <w:r>
        <w:t>), '</w:t>
      </w:r>
      <w:r w:rsidRPr="00012B74">
        <w:t>Making Land Work: Volume Two</w:t>
      </w:r>
      <w:r>
        <w:t xml:space="preserve"> </w:t>
      </w:r>
      <w:r w:rsidRPr="00012B74">
        <w:t>- Informal Land Systems within Urban Settlements in Honiara and Port Moresby</w:t>
      </w:r>
      <w:r>
        <w:t>'</w:t>
      </w:r>
      <w:r>
        <w:rPr>
          <w:i/>
        </w:rPr>
        <w:t xml:space="preserve"> </w:t>
      </w:r>
      <w:r>
        <w:t xml:space="preserve">(2008) </w:t>
      </w:r>
      <w:r>
        <w:rPr>
          <w:i/>
        </w:rPr>
        <w:t xml:space="preserve">Department of Foreign Affairs and Trade </w:t>
      </w:r>
      <w:r w:rsidRPr="00012B74">
        <w:t>2</w:t>
      </w:r>
      <w:r>
        <w:t xml:space="preserve"> &lt;</w:t>
      </w:r>
      <w:hyperlink r:id="rId13" w:history="1">
        <w:r w:rsidRPr="000E2F39">
          <w:rPr>
            <w:rStyle w:val="Hyperlink"/>
          </w:rPr>
          <w:t>http://dfat.gov.au/about-us/publications/Documents/MLW_VolumeTwo_CaseStudy_5.pdf</w:t>
        </w:r>
      </w:hyperlink>
      <w:r>
        <w:t>&gt;.</w:t>
      </w:r>
    </w:p>
  </w:footnote>
  <w:footnote w:id="44">
    <w:p w:rsidR="007211D0" w:rsidRDefault="007211D0" w:rsidP="00FC0D13">
      <w:pPr>
        <w:pStyle w:val="FootnoteText"/>
      </w:pPr>
      <w:r>
        <w:rPr>
          <w:rStyle w:val="FootnoteReference"/>
        </w:rPr>
        <w:footnoteRef/>
      </w:r>
      <w:r>
        <w:t xml:space="preserve"> </w:t>
      </w:r>
      <w:r w:rsidRPr="0053279D">
        <w:rPr>
          <w:i/>
        </w:rPr>
        <w:t>Land and Titles Act</w:t>
      </w:r>
      <w:r>
        <w:t xml:space="preserve"> s 135.</w:t>
      </w:r>
    </w:p>
  </w:footnote>
  <w:footnote w:id="45">
    <w:p w:rsidR="007211D0" w:rsidRPr="00A631ED" w:rsidRDefault="007211D0" w:rsidP="00FC0D13">
      <w:pPr>
        <w:pStyle w:val="FootnoteText"/>
      </w:pPr>
      <w:r>
        <w:rPr>
          <w:rStyle w:val="FootnoteReference"/>
        </w:rPr>
        <w:footnoteRef/>
      </w:r>
      <w:r>
        <w:t xml:space="preserve"> </w:t>
      </w:r>
      <w:r>
        <w:rPr>
          <w:i/>
        </w:rPr>
        <w:t xml:space="preserve">Land and Titles Act </w:t>
      </w:r>
      <w:r>
        <w:t>s 100.</w:t>
      </w:r>
    </w:p>
  </w:footnote>
  <w:footnote w:id="46">
    <w:p w:rsidR="007211D0" w:rsidRDefault="007211D0" w:rsidP="00FC0D13">
      <w:pPr>
        <w:pStyle w:val="FootnoteText"/>
      </w:pPr>
      <w:r>
        <w:rPr>
          <w:rStyle w:val="FootnoteReference"/>
        </w:rPr>
        <w:footnoteRef/>
      </w:r>
      <w:r>
        <w:t xml:space="preserve"> </w:t>
      </w:r>
      <w:proofErr w:type="gramStart"/>
      <w:r>
        <w:t>Solomon Islands Government, Ministry for Lands, Housing and Survey, Divisions &lt;</w:t>
      </w:r>
      <w:hyperlink r:id="rId14" w:history="1">
        <w:r w:rsidRPr="00DD4365">
          <w:rPr>
            <w:rStyle w:val="Hyperlink"/>
          </w:rPr>
          <w:t>http://www.lands.gov.sb/divisions.html</w:t>
        </w:r>
      </w:hyperlink>
      <w:r>
        <w:t>&gt;.</w:t>
      </w:r>
      <w:proofErr w:type="gramEnd"/>
    </w:p>
  </w:footnote>
  <w:footnote w:id="47">
    <w:p w:rsidR="007211D0" w:rsidRDefault="007211D0" w:rsidP="00FC0D13">
      <w:pPr>
        <w:pStyle w:val="FootnoteText"/>
      </w:pPr>
      <w:r>
        <w:rPr>
          <w:rStyle w:val="FootnoteReference"/>
        </w:rPr>
        <w:footnoteRef/>
      </w:r>
      <w:r>
        <w:t xml:space="preserve"> National Parliament of Solomon Islands, (2014) </w:t>
      </w:r>
      <w:r w:rsidRPr="00B5487B">
        <w:rPr>
          <w:i/>
        </w:rPr>
        <w:t>Parliament Passes the Land and Titles (Amendment) Bill 2014</w:t>
      </w:r>
      <w:r>
        <w:t xml:space="preserve"> &lt;</w:t>
      </w:r>
      <w:hyperlink r:id="rId15" w:history="1">
        <w:r w:rsidRPr="00DD4365">
          <w:rPr>
            <w:rStyle w:val="Hyperlink"/>
          </w:rPr>
          <w:t>http://www.parliament.gov.sb/index.php?q=node/79</w:t>
        </w:r>
      </w:hyperlink>
      <w:r>
        <w:t xml:space="preserve"> &gt;.</w:t>
      </w:r>
    </w:p>
  </w:footnote>
  <w:footnote w:id="48">
    <w:p w:rsidR="007211D0" w:rsidRPr="00F67844" w:rsidRDefault="007211D0" w:rsidP="00FC0D13">
      <w:pPr>
        <w:pStyle w:val="FootnoteText"/>
      </w:pPr>
      <w:r>
        <w:rPr>
          <w:rStyle w:val="FootnoteReference"/>
        </w:rPr>
        <w:footnoteRef/>
      </w:r>
      <w:r>
        <w:t xml:space="preserve"> Solomon Islands Government, Ministry of Lands, Housing and Survey, </w:t>
      </w:r>
      <w:r>
        <w:rPr>
          <w:i/>
        </w:rPr>
        <w:t>Land Board</w:t>
      </w:r>
      <w:r>
        <w:t xml:space="preserve"> &lt;</w:t>
      </w:r>
      <w:hyperlink r:id="rId16" w:history="1">
        <w:r w:rsidRPr="00F67844">
          <w:rPr>
            <w:rStyle w:val="Hyperlink"/>
          </w:rPr>
          <w:t>http://www.lands.gov.sb/land-board.html</w:t>
        </w:r>
      </w:hyperlink>
      <w:r>
        <w:t xml:space="preserve">&gt;; </w:t>
      </w:r>
      <w:r w:rsidRPr="00476239">
        <w:rPr>
          <w:i/>
        </w:rPr>
        <w:t>Land and Titles Act</w:t>
      </w:r>
      <w:r>
        <w:t>, part IIA.</w:t>
      </w:r>
    </w:p>
  </w:footnote>
  <w:footnote w:id="49">
    <w:p w:rsidR="007211D0" w:rsidRDefault="007211D0">
      <w:pPr>
        <w:pStyle w:val="FootnoteText"/>
      </w:pPr>
      <w:r>
        <w:rPr>
          <w:rStyle w:val="FootnoteReference"/>
        </w:rPr>
        <w:footnoteRef/>
      </w:r>
      <w:r>
        <w:t xml:space="preserve"> National Disaster Management Office, &lt;</w:t>
      </w:r>
      <w:hyperlink r:id="rId17" w:history="1">
        <w:r w:rsidRPr="00D60BDA">
          <w:rPr>
            <w:rStyle w:val="Hyperlink"/>
          </w:rPr>
          <w:t>http://www.ndmo.gov.sb/</w:t>
        </w:r>
      </w:hyperlink>
      <w:r>
        <w:t>&gt;.</w:t>
      </w:r>
    </w:p>
  </w:footnote>
  <w:footnote w:id="50">
    <w:p w:rsidR="007211D0" w:rsidRPr="00EC3DDE" w:rsidRDefault="007211D0" w:rsidP="00FC0D13">
      <w:pPr>
        <w:pStyle w:val="FootnoteText"/>
        <w:rPr>
          <w:lang w:val="en-US"/>
        </w:rPr>
      </w:pPr>
      <w:r>
        <w:rPr>
          <w:rStyle w:val="FootnoteReference"/>
        </w:rPr>
        <w:footnoteRef/>
      </w:r>
      <w:r>
        <w:t xml:space="preserve"> </w:t>
      </w:r>
      <w:r w:rsidRPr="004605C6">
        <w:rPr>
          <w:i/>
          <w:lang w:val="en-US"/>
        </w:rPr>
        <w:t>Land and Titles Act</w:t>
      </w:r>
      <w:r>
        <w:rPr>
          <w:lang w:val="en-US"/>
        </w:rPr>
        <w:t xml:space="preserve"> </w:t>
      </w:r>
      <w:proofErr w:type="spellStart"/>
      <w:r>
        <w:rPr>
          <w:lang w:val="en-US"/>
        </w:rPr>
        <w:t>ss</w:t>
      </w:r>
      <w:proofErr w:type="spellEnd"/>
      <w:r>
        <w:rPr>
          <w:lang w:val="en-US"/>
        </w:rPr>
        <w:t xml:space="preserve"> 116, 117 and 146.</w:t>
      </w:r>
    </w:p>
  </w:footnote>
  <w:footnote w:id="51">
    <w:p w:rsidR="007211D0" w:rsidRDefault="007211D0" w:rsidP="00FC0D13">
      <w:pPr>
        <w:pStyle w:val="FootnoteText"/>
      </w:pPr>
      <w:r>
        <w:rPr>
          <w:rStyle w:val="FootnoteReference"/>
        </w:rPr>
        <w:footnoteRef/>
      </w:r>
      <w:r>
        <w:t xml:space="preserve"> Jennifer </w:t>
      </w:r>
      <w:proofErr w:type="spellStart"/>
      <w:r>
        <w:t>Corrin</w:t>
      </w:r>
      <w:proofErr w:type="spellEnd"/>
      <w:r>
        <w:t>, 'Customary Land in Solomon Islands: A Victim of Legal Pluralism' in Anthony Angelo and Yves-Louis Sage (</w:t>
      </w:r>
      <w:proofErr w:type="spellStart"/>
      <w:proofErr w:type="gramStart"/>
      <w:r>
        <w:t>ed</w:t>
      </w:r>
      <w:proofErr w:type="spellEnd"/>
      <w:proofErr w:type="gramEnd"/>
      <w:r>
        <w:t xml:space="preserve">) (2011) </w:t>
      </w:r>
      <w:proofErr w:type="spellStart"/>
      <w:r w:rsidRPr="00AE7185">
        <w:rPr>
          <w:i/>
        </w:rPr>
        <w:t>Droit</w:t>
      </w:r>
      <w:proofErr w:type="spellEnd"/>
      <w:r w:rsidRPr="00AE7185">
        <w:rPr>
          <w:i/>
        </w:rPr>
        <w:t xml:space="preserve"> </w:t>
      </w:r>
      <w:proofErr w:type="spellStart"/>
      <w:r w:rsidRPr="00AE7185">
        <w:rPr>
          <w:i/>
        </w:rPr>
        <w:t>Froncier</w:t>
      </w:r>
      <w:proofErr w:type="spellEnd"/>
      <w:r w:rsidRPr="00AE7185">
        <w:rPr>
          <w:i/>
        </w:rPr>
        <w:t xml:space="preserve"> Et </w:t>
      </w:r>
      <w:proofErr w:type="spellStart"/>
      <w:r w:rsidRPr="00AE7185">
        <w:rPr>
          <w:i/>
        </w:rPr>
        <w:t>Gouvernance</w:t>
      </w:r>
      <w:proofErr w:type="spellEnd"/>
      <w:r w:rsidRPr="00AE7185">
        <w:rPr>
          <w:i/>
        </w:rPr>
        <w:t xml:space="preserve"> </w:t>
      </w:r>
      <w:proofErr w:type="spellStart"/>
      <w:r w:rsidRPr="00AE7185">
        <w:rPr>
          <w:i/>
        </w:rPr>
        <w:t>Judiciarire</w:t>
      </w:r>
      <w:proofErr w:type="spellEnd"/>
      <w:r w:rsidRPr="00AE7185">
        <w:rPr>
          <w:i/>
        </w:rPr>
        <w:t xml:space="preserve"> </w:t>
      </w:r>
      <w:proofErr w:type="spellStart"/>
      <w:r w:rsidRPr="00AE7185">
        <w:rPr>
          <w:i/>
        </w:rPr>
        <w:t>Dans</w:t>
      </w:r>
      <w:proofErr w:type="spellEnd"/>
      <w:r w:rsidRPr="00AE7185">
        <w:rPr>
          <w:i/>
        </w:rPr>
        <w:t xml:space="preserve"> Le </w:t>
      </w:r>
      <w:proofErr w:type="spellStart"/>
      <w:r w:rsidRPr="00AE7185">
        <w:rPr>
          <w:i/>
        </w:rPr>
        <w:t>Pacifique</w:t>
      </w:r>
      <w:proofErr w:type="spellEnd"/>
      <w:r w:rsidRPr="00AE7185">
        <w:rPr>
          <w:i/>
        </w:rPr>
        <w:t>: Land Law and Governance in the South Pacific</w:t>
      </w:r>
      <w:r>
        <w:t xml:space="preserve"> </w:t>
      </w:r>
      <w:proofErr w:type="spellStart"/>
      <w:r>
        <w:t>i</w:t>
      </w:r>
      <w:proofErr w:type="spellEnd"/>
      <w:r>
        <w:t>.</w:t>
      </w:r>
    </w:p>
  </w:footnote>
  <w:footnote w:id="52">
    <w:p w:rsidR="007211D0" w:rsidRDefault="007211D0" w:rsidP="00FC0D13">
      <w:pPr>
        <w:pStyle w:val="FootnoteText"/>
      </w:pPr>
      <w:r>
        <w:rPr>
          <w:rStyle w:val="FootnoteReference"/>
        </w:rPr>
        <w:footnoteRef/>
      </w:r>
      <w:r>
        <w:t xml:space="preserve"> </w:t>
      </w:r>
      <w:r w:rsidRPr="00F36D98">
        <w:rPr>
          <w:i/>
        </w:rPr>
        <w:t xml:space="preserve">Land and Titles Act </w:t>
      </w:r>
      <w:proofErr w:type="spellStart"/>
      <w:r>
        <w:t>ss</w:t>
      </w:r>
      <w:proofErr w:type="spellEnd"/>
      <w:r>
        <w:t xml:space="preserve"> 109</w:t>
      </w:r>
      <w:r>
        <w:rPr>
          <w:rFonts w:cs="Arial"/>
        </w:rPr>
        <w:t>–1</w:t>
      </w:r>
      <w:r>
        <w:t>10.</w:t>
      </w:r>
    </w:p>
  </w:footnote>
  <w:footnote w:id="53">
    <w:p w:rsidR="007211D0" w:rsidRDefault="007211D0" w:rsidP="00FC0D13">
      <w:pPr>
        <w:pStyle w:val="FootnoteText"/>
      </w:pPr>
      <w:r>
        <w:rPr>
          <w:rStyle w:val="FootnoteReference"/>
        </w:rPr>
        <w:footnoteRef/>
      </w:r>
      <w:r>
        <w:t xml:space="preserve"> </w:t>
      </w:r>
      <w:r w:rsidRPr="009538FC">
        <w:rPr>
          <w:i/>
        </w:rPr>
        <w:t>Land and Titles Act</w:t>
      </w:r>
      <w:r>
        <w:t xml:space="preserve"> s 172(1).</w:t>
      </w:r>
    </w:p>
  </w:footnote>
  <w:footnote w:id="54">
    <w:p w:rsidR="007211D0" w:rsidRDefault="007211D0" w:rsidP="00FC0D13">
      <w:pPr>
        <w:pStyle w:val="FootnoteText"/>
      </w:pPr>
      <w:r>
        <w:rPr>
          <w:rStyle w:val="FootnoteReference"/>
        </w:rPr>
        <w:footnoteRef/>
      </w:r>
      <w:r>
        <w:t xml:space="preserve"> </w:t>
      </w:r>
      <w:r w:rsidRPr="00F36D98">
        <w:rPr>
          <w:i/>
        </w:rPr>
        <w:t xml:space="preserve">Land and Titles Act </w:t>
      </w:r>
      <w:r>
        <w:t>s 172(2).</w:t>
      </w:r>
    </w:p>
  </w:footnote>
  <w:footnote w:id="55">
    <w:p w:rsidR="007211D0" w:rsidRDefault="007211D0" w:rsidP="00FC0D13">
      <w:pPr>
        <w:pStyle w:val="FootnoteText"/>
      </w:pPr>
      <w:r>
        <w:rPr>
          <w:rStyle w:val="FootnoteReference"/>
        </w:rPr>
        <w:footnoteRef/>
      </w:r>
      <w:r>
        <w:t xml:space="preserve"> </w:t>
      </w:r>
      <w:r w:rsidRPr="00850C37">
        <w:rPr>
          <w:i/>
        </w:rPr>
        <w:t>Land and Titles Act</w:t>
      </w:r>
      <w:r>
        <w:t xml:space="preserve"> s 112(2).</w:t>
      </w:r>
    </w:p>
  </w:footnote>
  <w:footnote w:id="56">
    <w:p w:rsidR="007211D0" w:rsidRPr="00CE0050" w:rsidRDefault="007211D0" w:rsidP="00FC0D13">
      <w:pPr>
        <w:pStyle w:val="FootnoteText"/>
        <w:rPr>
          <w:lang w:val="en-US"/>
        </w:rPr>
      </w:pPr>
      <w:r>
        <w:rPr>
          <w:rStyle w:val="FootnoteReference"/>
        </w:rPr>
        <w:footnoteRef/>
      </w:r>
      <w:r>
        <w:t xml:space="preserve"> </w:t>
      </w:r>
      <w:r w:rsidRPr="00CE0050">
        <w:rPr>
          <w:i/>
          <w:lang w:val="en-US"/>
        </w:rPr>
        <w:t>Land and Titles Act</w:t>
      </w:r>
      <w:r>
        <w:rPr>
          <w:lang w:val="en-US"/>
        </w:rPr>
        <w:t xml:space="preserve"> s 172(1).</w:t>
      </w:r>
    </w:p>
  </w:footnote>
  <w:footnote w:id="57">
    <w:p w:rsidR="007211D0" w:rsidRDefault="007211D0" w:rsidP="00FC0D13">
      <w:pPr>
        <w:pStyle w:val="FootnoteText"/>
      </w:pPr>
      <w:r>
        <w:rPr>
          <w:rStyle w:val="FootnoteReference"/>
        </w:rPr>
        <w:footnoteRef/>
      </w:r>
      <w:r>
        <w:t xml:space="preserve"> </w:t>
      </w:r>
      <w:r w:rsidRPr="009538FC">
        <w:rPr>
          <w:i/>
        </w:rPr>
        <w:t>Land and Titles Act</w:t>
      </w:r>
      <w:r>
        <w:t xml:space="preserve"> </w:t>
      </w:r>
      <w:proofErr w:type="spellStart"/>
      <w:r>
        <w:t>ss</w:t>
      </w:r>
      <w:proofErr w:type="spellEnd"/>
      <w:r>
        <w:t xml:space="preserve"> 116, 117.</w:t>
      </w:r>
    </w:p>
  </w:footnote>
  <w:footnote w:id="58">
    <w:p w:rsidR="007211D0" w:rsidRPr="004605C6" w:rsidRDefault="007211D0" w:rsidP="00FC0D13">
      <w:pPr>
        <w:pStyle w:val="FootnoteText"/>
        <w:rPr>
          <w:lang w:val="en-US"/>
        </w:rPr>
      </w:pPr>
      <w:r>
        <w:rPr>
          <w:rStyle w:val="FootnoteReference"/>
        </w:rPr>
        <w:footnoteRef/>
      </w:r>
      <w:r>
        <w:t xml:space="preserve"> </w:t>
      </w:r>
      <w:r w:rsidRPr="00F36D98">
        <w:rPr>
          <w:i/>
        </w:rPr>
        <w:t xml:space="preserve">Land and Titles Act </w:t>
      </w:r>
      <w:r>
        <w:t>s 146.</w:t>
      </w:r>
    </w:p>
  </w:footnote>
  <w:footnote w:id="59">
    <w:p w:rsidR="007211D0" w:rsidRDefault="007211D0" w:rsidP="00FC0D13">
      <w:pPr>
        <w:pStyle w:val="FootnoteText"/>
      </w:pPr>
      <w:r>
        <w:rPr>
          <w:rStyle w:val="FootnoteReference"/>
        </w:rPr>
        <w:footnoteRef/>
      </w:r>
      <w:r>
        <w:t xml:space="preserve"> </w:t>
      </w:r>
      <w:r w:rsidRPr="00B5487B">
        <w:rPr>
          <w:i/>
        </w:rPr>
        <w:t>Land and Titles Act</w:t>
      </w:r>
      <w:r>
        <w:t xml:space="preserve"> </w:t>
      </w:r>
      <w:proofErr w:type="spellStart"/>
      <w:r>
        <w:t>ss</w:t>
      </w:r>
      <w:proofErr w:type="spellEnd"/>
      <w:r>
        <w:t xml:space="preserve"> 145(1</w:t>
      </w:r>
      <w:proofErr w:type="gramStart"/>
      <w:r>
        <w:t>)(</w:t>
      </w:r>
      <w:proofErr w:type="gramEnd"/>
      <w:r>
        <w:t>a)–(b).</w:t>
      </w:r>
    </w:p>
  </w:footnote>
  <w:footnote w:id="60">
    <w:p w:rsidR="007211D0" w:rsidRDefault="007211D0" w:rsidP="00FC0D13">
      <w:pPr>
        <w:pStyle w:val="FootnoteText"/>
      </w:pPr>
      <w:r>
        <w:rPr>
          <w:rStyle w:val="FootnoteReference"/>
        </w:rPr>
        <w:footnoteRef/>
      </w:r>
      <w:r>
        <w:t xml:space="preserve"> </w:t>
      </w:r>
      <w:r w:rsidRPr="00B5487B">
        <w:rPr>
          <w:i/>
        </w:rPr>
        <w:t xml:space="preserve">Land and Titles Act </w:t>
      </w:r>
      <w:r>
        <w:t>s 145(2).</w:t>
      </w:r>
    </w:p>
  </w:footnote>
  <w:footnote w:id="61">
    <w:p w:rsidR="007211D0" w:rsidRDefault="007211D0" w:rsidP="00FC0D13">
      <w:pPr>
        <w:pStyle w:val="FootnoteText"/>
      </w:pPr>
      <w:r>
        <w:rPr>
          <w:rStyle w:val="FootnoteReference"/>
        </w:rPr>
        <w:footnoteRef/>
      </w:r>
      <w:r>
        <w:t xml:space="preserve"> </w:t>
      </w:r>
      <w:r w:rsidRPr="00B5487B">
        <w:rPr>
          <w:i/>
        </w:rPr>
        <w:t>Land and Titles Act</w:t>
      </w:r>
      <w:r>
        <w:t xml:space="preserve"> s 114(e).</w:t>
      </w:r>
    </w:p>
  </w:footnote>
  <w:footnote w:id="62">
    <w:p w:rsidR="007211D0" w:rsidRDefault="007211D0" w:rsidP="00FC0D13">
      <w:pPr>
        <w:pStyle w:val="FootnoteText"/>
      </w:pPr>
      <w:r>
        <w:rPr>
          <w:rStyle w:val="FootnoteReference"/>
        </w:rPr>
        <w:footnoteRef/>
      </w:r>
      <w:r>
        <w:t xml:space="preserve"> </w:t>
      </w:r>
      <w:r w:rsidRPr="00B813E7">
        <w:rPr>
          <w:i/>
        </w:rPr>
        <w:t>Land and Titles Act</w:t>
      </w:r>
      <w:r>
        <w:t xml:space="preserve"> s 145(1).</w:t>
      </w:r>
    </w:p>
  </w:footnote>
  <w:footnote w:id="63">
    <w:p w:rsidR="007211D0" w:rsidRDefault="007211D0" w:rsidP="00FC0D13">
      <w:pPr>
        <w:pStyle w:val="FootnoteText"/>
      </w:pPr>
      <w:r>
        <w:rPr>
          <w:rStyle w:val="FootnoteReference"/>
        </w:rPr>
        <w:footnoteRef/>
      </w:r>
      <w:r>
        <w:t xml:space="preserve"> </w:t>
      </w:r>
      <w:r w:rsidRPr="00B5487B">
        <w:rPr>
          <w:i/>
        </w:rPr>
        <w:t>Land and Titles Act</w:t>
      </w:r>
      <w:r>
        <w:t xml:space="preserve"> s 160(1).</w:t>
      </w:r>
    </w:p>
  </w:footnote>
  <w:footnote w:id="64">
    <w:p w:rsidR="007211D0" w:rsidRDefault="007211D0" w:rsidP="00FC0D13">
      <w:pPr>
        <w:pStyle w:val="FootnoteText"/>
      </w:pPr>
      <w:r>
        <w:rPr>
          <w:rStyle w:val="FootnoteReference"/>
        </w:rPr>
        <w:footnoteRef/>
      </w:r>
      <w:r>
        <w:t xml:space="preserve"> </w:t>
      </w:r>
      <w:r w:rsidRPr="00B5487B">
        <w:rPr>
          <w:i/>
        </w:rPr>
        <w:t xml:space="preserve">Land and Titles Act </w:t>
      </w:r>
      <w:r>
        <w:t>s 172(1)</w:t>
      </w:r>
    </w:p>
  </w:footnote>
  <w:footnote w:id="65">
    <w:p w:rsidR="007211D0" w:rsidRDefault="007211D0" w:rsidP="00FC0D13">
      <w:pPr>
        <w:pStyle w:val="FootnoteText"/>
      </w:pPr>
      <w:r>
        <w:rPr>
          <w:rStyle w:val="FootnoteReference"/>
        </w:rPr>
        <w:footnoteRef/>
      </w:r>
      <w:r>
        <w:t xml:space="preserve"> </w:t>
      </w:r>
      <w:r>
        <w:rPr>
          <w:i/>
        </w:rPr>
        <w:t xml:space="preserve">Constitution of </w:t>
      </w:r>
      <w:r w:rsidRPr="009D64BA">
        <w:rPr>
          <w:i/>
        </w:rPr>
        <w:t>Solomon Islands</w:t>
      </w:r>
      <w:r>
        <w:t xml:space="preserve"> </w:t>
      </w:r>
      <w:r w:rsidRPr="00C97C05">
        <w:rPr>
          <w:i/>
        </w:rPr>
        <w:t>1978</w:t>
      </w:r>
      <w:r>
        <w:t xml:space="preserve"> </w:t>
      </w:r>
      <w:proofErr w:type="spellStart"/>
      <w:r>
        <w:t>ss</w:t>
      </w:r>
      <w:proofErr w:type="spellEnd"/>
      <w:r>
        <w:t xml:space="preserve"> 111</w:t>
      </w:r>
      <w:r>
        <w:rPr>
          <w:rFonts w:cs="Arial"/>
        </w:rPr>
        <w:t>–</w:t>
      </w:r>
      <w:r>
        <w:t>112.</w:t>
      </w:r>
    </w:p>
  </w:footnote>
  <w:footnote w:id="66">
    <w:p w:rsidR="007211D0" w:rsidRDefault="007211D0" w:rsidP="00FC0D13">
      <w:pPr>
        <w:pStyle w:val="FootnoteText"/>
      </w:pPr>
      <w:r>
        <w:rPr>
          <w:rStyle w:val="FootnoteReference"/>
        </w:rPr>
        <w:footnoteRef/>
      </w:r>
      <w:r>
        <w:t xml:space="preserve"> Stephanie Price &amp; </w:t>
      </w:r>
      <w:proofErr w:type="spellStart"/>
      <w:r>
        <w:t>O</w:t>
      </w:r>
      <w:r w:rsidRPr="00201E83">
        <w:t>rs</w:t>
      </w:r>
      <w:proofErr w:type="spellEnd"/>
      <w:r w:rsidRPr="00201E83">
        <w:t>,</w:t>
      </w:r>
      <w:r w:rsidRPr="002A04BE">
        <w:t xml:space="preserve"> </w:t>
      </w:r>
      <w:r>
        <w:t>'</w:t>
      </w:r>
      <w:r w:rsidRPr="00F4095D">
        <w:t>Environmental Law in Solomon Islands</w:t>
      </w:r>
      <w:r>
        <w:t>'</w:t>
      </w:r>
      <w:r w:rsidRPr="006C0A05">
        <w:t xml:space="preserve"> </w:t>
      </w:r>
      <w:r w:rsidRPr="00201E83">
        <w:t>(2015)</w:t>
      </w:r>
      <w:r>
        <w:t xml:space="preserve"> </w:t>
      </w:r>
      <w:r>
        <w:rPr>
          <w:i/>
        </w:rPr>
        <w:t xml:space="preserve">Public Solicitor's Office Solomon Islands </w:t>
      </w:r>
      <w:r w:rsidRPr="00F4095D">
        <w:rPr>
          <w:i/>
        </w:rPr>
        <w:t>Landowners' Advocacy and Legal Support Unit</w:t>
      </w:r>
      <w:r>
        <w:t xml:space="preserve">; </w:t>
      </w:r>
      <w:r w:rsidRPr="00D45F5A">
        <w:rPr>
          <w:i/>
        </w:rPr>
        <w:t xml:space="preserve">Land and Titles Act </w:t>
      </w:r>
      <w:r>
        <w:t>s 239.</w:t>
      </w:r>
    </w:p>
  </w:footnote>
  <w:footnote w:id="67">
    <w:p w:rsidR="007211D0" w:rsidRDefault="007211D0" w:rsidP="00FC0D13">
      <w:pPr>
        <w:pStyle w:val="FootnoteText"/>
      </w:pPr>
      <w:r>
        <w:rPr>
          <w:rStyle w:val="FootnoteReference"/>
        </w:rPr>
        <w:footnoteRef/>
      </w:r>
      <w:r>
        <w:t xml:space="preserve"> </w:t>
      </w:r>
      <w:r w:rsidRPr="0091182D">
        <w:t xml:space="preserve">Rebecca Monson, 'Women, State Law and Land in Peri-Urban Settlements on Guadalcanal, Solomon Islands' (2010) 4(3) </w:t>
      </w:r>
      <w:r w:rsidRPr="0091182D">
        <w:rPr>
          <w:i/>
        </w:rPr>
        <w:t>Justice for the Poor</w:t>
      </w:r>
      <w:r w:rsidRPr="0091182D">
        <w:t xml:space="preserve"> – </w:t>
      </w:r>
      <w:r w:rsidRPr="0091182D">
        <w:rPr>
          <w:i/>
        </w:rPr>
        <w:t>The World Bank</w:t>
      </w:r>
      <w:r>
        <w:t xml:space="preserve"> 1 &lt;</w:t>
      </w:r>
      <w:hyperlink r:id="rId18" w:history="1">
        <w:r w:rsidRPr="00434FE6">
          <w:rPr>
            <w:rStyle w:val="Hyperlink"/>
          </w:rPr>
          <w:t>http://documents.worldbank.org/curated/en/945751468165272583/pdf/544240Briefing1Guadalcanal1SolIslds.pdf</w:t>
        </w:r>
      </w:hyperlink>
      <w:r>
        <w:t>&gt;.</w:t>
      </w:r>
    </w:p>
  </w:footnote>
  <w:footnote w:id="68">
    <w:p w:rsidR="007211D0" w:rsidRDefault="007211D0" w:rsidP="00FC0D13">
      <w:pPr>
        <w:pStyle w:val="FootnoteText"/>
      </w:pPr>
      <w:r>
        <w:rPr>
          <w:rStyle w:val="FootnoteReference"/>
        </w:rPr>
        <w:footnoteRef/>
      </w:r>
      <w:r>
        <w:t xml:space="preserve"> </w:t>
      </w:r>
      <w:r w:rsidRPr="00850C37">
        <w:rPr>
          <w:i/>
        </w:rPr>
        <w:t>Land and Titles Act</w:t>
      </w:r>
      <w:r>
        <w:t xml:space="preserve"> s 2.</w:t>
      </w:r>
    </w:p>
  </w:footnote>
  <w:footnote w:id="69">
    <w:p w:rsidR="007211D0" w:rsidRPr="00B43157" w:rsidRDefault="007211D0">
      <w:pPr>
        <w:pStyle w:val="FootnoteText"/>
        <w:rPr>
          <w:lang w:val="en-US"/>
        </w:rPr>
      </w:pPr>
      <w:r>
        <w:rPr>
          <w:rStyle w:val="FootnoteReference"/>
        </w:rPr>
        <w:footnoteRef/>
      </w:r>
      <w:r>
        <w:t xml:space="preserve"> </w:t>
      </w:r>
      <w:r w:rsidRPr="00C96FF9">
        <w:t xml:space="preserve">Jennifer </w:t>
      </w:r>
      <w:proofErr w:type="spellStart"/>
      <w:r w:rsidRPr="00C96FF9">
        <w:t>Corrin</w:t>
      </w:r>
      <w:proofErr w:type="spellEnd"/>
      <w:r w:rsidRPr="00C96FF9">
        <w:t>, 'Customary Land in Solomon Islands: A Victim of Legal Pluralism' in Antho</w:t>
      </w:r>
      <w:r>
        <w:t>ny Angelo and Yves-Louis Sage (</w:t>
      </w:r>
      <w:proofErr w:type="spellStart"/>
      <w:proofErr w:type="gramStart"/>
      <w:r>
        <w:t>e</w:t>
      </w:r>
      <w:r w:rsidRPr="00C96FF9">
        <w:t>d</w:t>
      </w:r>
      <w:proofErr w:type="spellEnd"/>
      <w:proofErr w:type="gramEnd"/>
      <w:r w:rsidRPr="00C96FF9">
        <w:t xml:space="preserve">) </w:t>
      </w:r>
      <w:r>
        <w:t xml:space="preserve">(2011) </w:t>
      </w:r>
      <w:proofErr w:type="spellStart"/>
      <w:r w:rsidRPr="00C96FF9">
        <w:rPr>
          <w:i/>
        </w:rPr>
        <w:t>Droit</w:t>
      </w:r>
      <w:proofErr w:type="spellEnd"/>
      <w:r w:rsidRPr="00C96FF9">
        <w:rPr>
          <w:i/>
        </w:rPr>
        <w:t xml:space="preserve"> </w:t>
      </w:r>
      <w:proofErr w:type="spellStart"/>
      <w:r w:rsidRPr="00C96FF9">
        <w:rPr>
          <w:i/>
        </w:rPr>
        <w:t>Froncier</w:t>
      </w:r>
      <w:proofErr w:type="spellEnd"/>
      <w:r w:rsidRPr="00C96FF9">
        <w:rPr>
          <w:i/>
        </w:rPr>
        <w:t xml:space="preserve"> Et </w:t>
      </w:r>
      <w:proofErr w:type="spellStart"/>
      <w:r w:rsidRPr="00C96FF9">
        <w:rPr>
          <w:i/>
        </w:rPr>
        <w:t>Gouvernance</w:t>
      </w:r>
      <w:proofErr w:type="spellEnd"/>
      <w:r w:rsidRPr="00C96FF9">
        <w:rPr>
          <w:i/>
        </w:rPr>
        <w:t xml:space="preserve"> </w:t>
      </w:r>
      <w:proofErr w:type="spellStart"/>
      <w:r w:rsidRPr="00C96FF9">
        <w:rPr>
          <w:i/>
        </w:rPr>
        <w:t>Judiciarire</w:t>
      </w:r>
      <w:proofErr w:type="spellEnd"/>
      <w:r w:rsidRPr="00C96FF9">
        <w:rPr>
          <w:i/>
        </w:rPr>
        <w:t xml:space="preserve"> </w:t>
      </w:r>
      <w:proofErr w:type="spellStart"/>
      <w:r w:rsidRPr="00C96FF9">
        <w:rPr>
          <w:i/>
        </w:rPr>
        <w:t>Dans</w:t>
      </w:r>
      <w:proofErr w:type="spellEnd"/>
      <w:r w:rsidRPr="00C96FF9">
        <w:rPr>
          <w:i/>
        </w:rPr>
        <w:t xml:space="preserve"> Le </w:t>
      </w:r>
      <w:proofErr w:type="spellStart"/>
      <w:r w:rsidRPr="00C96FF9">
        <w:rPr>
          <w:i/>
        </w:rPr>
        <w:t>Pacifique</w:t>
      </w:r>
      <w:proofErr w:type="spellEnd"/>
      <w:r w:rsidRPr="00C96FF9">
        <w:rPr>
          <w:i/>
        </w:rPr>
        <w:t>: Land Law and Governance in the South Pacific</w:t>
      </w:r>
      <w:r w:rsidRPr="00C96FF9">
        <w:t xml:space="preserve"> </w:t>
      </w:r>
      <w:r>
        <w:t>xii.</w:t>
      </w:r>
    </w:p>
  </w:footnote>
  <w:footnote w:id="70">
    <w:p w:rsidR="007211D0" w:rsidRPr="004E15EC" w:rsidRDefault="007211D0" w:rsidP="00FC0D13">
      <w:pPr>
        <w:pStyle w:val="FootnoteText"/>
      </w:pPr>
      <w:r>
        <w:rPr>
          <w:rStyle w:val="FootnoteReference"/>
        </w:rPr>
        <w:footnoteRef/>
      </w:r>
      <w:r>
        <w:t xml:space="preserve"> </w:t>
      </w:r>
      <w:r w:rsidRPr="00F36D98">
        <w:rPr>
          <w:i/>
        </w:rPr>
        <w:t xml:space="preserve">Land and Titles Act </w:t>
      </w:r>
      <w:r>
        <w:t>s 2.</w:t>
      </w:r>
    </w:p>
  </w:footnote>
  <w:footnote w:id="71">
    <w:p w:rsidR="007211D0" w:rsidRPr="00CF69B5" w:rsidRDefault="007211D0">
      <w:pPr>
        <w:pStyle w:val="FootnoteText"/>
      </w:pPr>
      <w:r>
        <w:rPr>
          <w:rStyle w:val="FootnoteReference"/>
        </w:rPr>
        <w:footnoteRef/>
      </w:r>
      <w:r>
        <w:t xml:space="preserve"> Phillip </w:t>
      </w:r>
      <w:proofErr w:type="spellStart"/>
      <w:r>
        <w:t>Tagini</w:t>
      </w:r>
      <w:proofErr w:type="spellEnd"/>
      <w:r>
        <w:t xml:space="preserve">, 'The Effect of Land Policy on Foreign Direct Investment in the Solomon Islands' (2001) 5 </w:t>
      </w:r>
      <w:proofErr w:type="gramStart"/>
      <w:r>
        <w:rPr>
          <w:i/>
        </w:rPr>
        <w:t>The</w:t>
      </w:r>
      <w:proofErr w:type="gramEnd"/>
      <w:r>
        <w:rPr>
          <w:i/>
        </w:rPr>
        <w:t xml:space="preserve"> Journal of South Pacific Law</w:t>
      </w:r>
      <w:r>
        <w:t>.</w:t>
      </w:r>
    </w:p>
  </w:footnote>
  <w:footnote w:id="72">
    <w:p w:rsidR="007211D0" w:rsidRPr="00930CEA" w:rsidRDefault="007211D0" w:rsidP="00FC0D13">
      <w:pPr>
        <w:pStyle w:val="FootnoteText"/>
      </w:pPr>
      <w:r>
        <w:rPr>
          <w:rStyle w:val="FootnoteReference"/>
        </w:rPr>
        <w:footnoteRef/>
      </w:r>
      <w:r>
        <w:t xml:space="preserve"> </w:t>
      </w:r>
      <w:r>
        <w:rPr>
          <w:i/>
        </w:rPr>
        <w:t xml:space="preserve">Land and Titles Act </w:t>
      </w:r>
      <w:r>
        <w:t>s 240.</w:t>
      </w:r>
    </w:p>
  </w:footnote>
  <w:footnote w:id="73">
    <w:p w:rsidR="007211D0" w:rsidRDefault="007211D0" w:rsidP="00FC0D13">
      <w:pPr>
        <w:pStyle w:val="FootnoteText"/>
      </w:pPr>
      <w:r>
        <w:rPr>
          <w:rStyle w:val="FootnoteReference"/>
        </w:rPr>
        <w:footnoteRef/>
      </w:r>
      <w:r>
        <w:t xml:space="preserve"> </w:t>
      </w:r>
      <w:r>
        <w:rPr>
          <w:i/>
        </w:rPr>
        <w:t>Land and Titles Act</w:t>
      </w:r>
      <w:r w:rsidRPr="00737233">
        <w:t xml:space="preserve"> </w:t>
      </w:r>
      <w:r>
        <w:t>s 241.</w:t>
      </w:r>
    </w:p>
  </w:footnote>
  <w:footnote w:id="74">
    <w:p w:rsidR="007211D0" w:rsidRDefault="007211D0" w:rsidP="00FC0D13">
      <w:pPr>
        <w:pStyle w:val="FootnoteText"/>
      </w:pPr>
      <w:r>
        <w:rPr>
          <w:rStyle w:val="FootnoteReference"/>
        </w:rPr>
        <w:footnoteRef/>
      </w:r>
      <w:r>
        <w:t xml:space="preserve"> Joseph </w:t>
      </w:r>
      <w:proofErr w:type="spellStart"/>
      <w:r w:rsidRPr="00A60A24">
        <w:t>Foukona</w:t>
      </w:r>
      <w:proofErr w:type="spellEnd"/>
      <w:r w:rsidRPr="00A60A24">
        <w:t>,</w:t>
      </w:r>
      <w:r>
        <w:t xml:space="preserve"> </w:t>
      </w:r>
      <w:r w:rsidRPr="00A60A24">
        <w:t>'Management of customary islands as a form of communal property in the Solomon Islands, Vanuatu and Fiji</w:t>
      </w:r>
      <w:r>
        <w:t>'</w:t>
      </w:r>
      <w:r w:rsidRPr="00A60A24">
        <w:t xml:space="preserve"> in </w:t>
      </w:r>
      <w:r>
        <w:t xml:space="preserve">Lee </w:t>
      </w:r>
      <w:r w:rsidRPr="00A60A24">
        <w:t xml:space="preserve">Godden </w:t>
      </w:r>
      <w:r>
        <w:t>and Maureen</w:t>
      </w:r>
      <w:r w:rsidRPr="00A60A24">
        <w:t xml:space="preserve"> </w:t>
      </w:r>
      <w:proofErr w:type="spellStart"/>
      <w:r w:rsidRPr="00A60A24">
        <w:t>Tehan</w:t>
      </w:r>
      <w:proofErr w:type="spellEnd"/>
      <w:r w:rsidRPr="00A60A24">
        <w:t xml:space="preserve">, </w:t>
      </w:r>
      <w:r w:rsidRPr="00102178">
        <w:rPr>
          <w:i/>
        </w:rPr>
        <w:t>Comparative Perspectives on Communal Lands and Individual Ownership: Sustainable Futures</w:t>
      </w:r>
      <w:r>
        <w:t xml:space="preserve"> (</w:t>
      </w:r>
      <w:r w:rsidRPr="00A60A24">
        <w:t>2010</w:t>
      </w:r>
      <w:r>
        <w:t>).</w:t>
      </w:r>
    </w:p>
  </w:footnote>
  <w:footnote w:id="75">
    <w:p w:rsidR="007211D0" w:rsidRDefault="007211D0">
      <w:pPr>
        <w:pStyle w:val="FootnoteText"/>
      </w:pPr>
      <w:r>
        <w:rPr>
          <w:rStyle w:val="FootnoteReference"/>
        </w:rPr>
        <w:footnoteRef/>
      </w:r>
      <w:r>
        <w:t xml:space="preserve"> </w:t>
      </w:r>
      <w:r w:rsidRPr="00B9491F">
        <w:rPr>
          <w:i/>
        </w:rPr>
        <w:t>Land and Titles Act</w:t>
      </w:r>
      <w:r>
        <w:t xml:space="preserve"> s 195(1).</w:t>
      </w:r>
    </w:p>
  </w:footnote>
  <w:footnote w:id="76">
    <w:p w:rsidR="007211D0" w:rsidRDefault="007211D0">
      <w:pPr>
        <w:pStyle w:val="FootnoteText"/>
      </w:pPr>
      <w:r>
        <w:rPr>
          <w:rStyle w:val="FootnoteReference"/>
        </w:rPr>
        <w:footnoteRef/>
      </w:r>
      <w:r>
        <w:t xml:space="preserve"> Email from Alan McNeil, Chief Technical Advisor at the Solomon Islands Ministry of Lands, Housing and Survey, to Mark </w:t>
      </w:r>
      <w:proofErr w:type="spellStart"/>
      <w:r>
        <w:t>Leersnyder</w:t>
      </w:r>
      <w:proofErr w:type="spellEnd"/>
      <w:r>
        <w:t>, 19 February 2017.</w:t>
      </w:r>
    </w:p>
  </w:footnote>
  <w:footnote w:id="77">
    <w:p w:rsidR="007211D0" w:rsidRDefault="007211D0" w:rsidP="00FC0D13">
      <w:pPr>
        <w:pStyle w:val="FootnoteText"/>
      </w:pPr>
      <w:r>
        <w:rPr>
          <w:rStyle w:val="FootnoteReference"/>
        </w:rPr>
        <w:footnoteRef/>
      </w:r>
      <w:r>
        <w:t xml:space="preserve"> Joseph </w:t>
      </w:r>
      <w:proofErr w:type="spellStart"/>
      <w:r w:rsidRPr="00A60A24">
        <w:t>Foukona</w:t>
      </w:r>
      <w:proofErr w:type="spellEnd"/>
      <w:r w:rsidRPr="00A60A24">
        <w:t>,</w:t>
      </w:r>
      <w:r>
        <w:t xml:space="preserve"> </w:t>
      </w:r>
      <w:r w:rsidRPr="00A60A24">
        <w:t>'Management of customary islands as a form of communal property in the Solomon Islands, Vanuatu and Fiji</w:t>
      </w:r>
      <w:r>
        <w:t>'</w:t>
      </w:r>
      <w:r w:rsidRPr="00A60A24">
        <w:t xml:space="preserve"> in </w:t>
      </w:r>
      <w:r>
        <w:t xml:space="preserve">Lee </w:t>
      </w:r>
      <w:r w:rsidRPr="00A60A24">
        <w:t xml:space="preserve">Godden </w:t>
      </w:r>
      <w:r>
        <w:t>and Maureen</w:t>
      </w:r>
      <w:r w:rsidRPr="00A60A24">
        <w:t xml:space="preserve"> </w:t>
      </w:r>
      <w:proofErr w:type="spellStart"/>
      <w:r w:rsidRPr="00A60A24">
        <w:t>Tehan</w:t>
      </w:r>
      <w:proofErr w:type="spellEnd"/>
      <w:r w:rsidRPr="00A60A24">
        <w:t xml:space="preserve">, </w:t>
      </w:r>
      <w:r w:rsidRPr="00102178">
        <w:rPr>
          <w:i/>
        </w:rPr>
        <w:t>Comparative Perspectives on Communal Lands and Individual Ownership: Sustainable Futures</w:t>
      </w:r>
      <w:r>
        <w:t xml:space="preserve"> (</w:t>
      </w:r>
      <w:r w:rsidRPr="00A60A24">
        <w:t>2010</w:t>
      </w:r>
      <w:r>
        <w:t>).</w:t>
      </w:r>
    </w:p>
  </w:footnote>
  <w:footnote w:id="78">
    <w:p w:rsidR="007211D0" w:rsidRPr="005C20DC" w:rsidRDefault="007211D0" w:rsidP="00FC0D13">
      <w:pPr>
        <w:pStyle w:val="FootnoteText"/>
      </w:pPr>
      <w:r>
        <w:rPr>
          <w:rStyle w:val="FootnoteReference"/>
        </w:rPr>
        <w:footnoteRef/>
      </w:r>
      <w:r>
        <w:t xml:space="preserve"> Craig Corona, 'Private Lands Conservation in the Solomon Islands', (2004) </w:t>
      </w:r>
      <w:r w:rsidRPr="00AC13E9">
        <w:rPr>
          <w:i/>
        </w:rPr>
        <w:t xml:space="preserve">Natural Resources Law </w:t>
      </w:r>
      <w:proofErr w:type="spellStart"/>
      <w:r w:rsidRPr="00AC13E9">
        <w:rPr>
          <w:i/>
        </w:rPr>
        <w:t>Center</w:t>
      </w:r>
      <w:proofErr w:type="spellEnd"/>
      <w:r w:rsidRPr="00AC13E9">
        <w:rPr>
          <w:i/>
        </w:rPr>
        <w:t>, University of Colorado School of Law</w:t>
      </w:r>
      <w:r>
        <w:t>.</w:t>
      </w:r>
    </w:p>
  </w:footnote>
  <w:footnote w:id="79">
    <w:p w:rsidR="007211D0" w:rsidRDefault="007211D0">
      <w:pPr>
        <w:pStyle w:val="FootnoteText"/>
      </w:pPr>
      <w:r>
        <w:rPr>
          <w:rStyle w:val="FootnoteReference"/>
        </w:rPr>
        <w:footnoteRef/>
      </w:r>
      <w:r>
        <w:t xml:space="preserve"> </w:t>
      </w:r>
      <w:proofErr w:type="gramStart"/>
      <w:r>
        <w:t xml:space="preserve">International Finance Corporation, </w:t>
      </w:r>
      <w:r w:rsidRPr="00CA5F46">
        <w:rPr>
          <w:i/>
        </w:rPr>
        <w:t>Solomon Islands Gender and Investment Climate Reform Assessment</w:t>
      </w:r>
      <w:r>
        <w:t xml:space="preserve"> (January 2010) &lt;</w:t>
      </w:r>
      <w:hyperlink r:id="rId19" w:history="1">
        <w:r w:rsidRPr="002D1FD9">
          <w:rPr>
            <w:rStyle w:val="Hyperlink"/>
          </w:rPr>
          <w:t>https://www.ifc.org/wps/wcm/connect/0465238049fb0beca26eebd1a5d13d27/IFC_Gender+and+Inv+Climate+Reform+Assessments+_SolomonIslands.pdf?MOD=AJPERES</w:t>
        </w:r>
      </w:hyperlink>
      <w:r>
        <w:t>&gt;, 52.</w:t>
      </w:r>
      <w:proofErr w:type="gramEnd"/>
    </w:p>
  </w:footnote>
  <w:footnote w:id="80">
    <w:p w:rsidR="007211D0" w:rsidRDefault="007211D0" w:rsidP="00FC0D13">
      <w:pPr>
        <w:pStyle w:val="FootnoteText"/>
      </w:pPr>
      <w:r>
        <w:rPr>
          <w:rStyle w:val="FootnoteReference"/>
        </w:rPr>
        <w:footnoteRef/>
      </w:r>
      <w:r>
        <w:t xml:space="preserve"> </w:t>
      </w:r>
      <w:r w:rsidRPr="00952C00">
        <w:t xml:space="preserve">Craig Corona, 'Private Lands Conservation in the Solomon Islands', (2004) </w:t>
      </w:r>
      <w:r w:rsidRPr="00952C00">
        <w:rPr>
          <w:i/>
        </w:rPr>
        <w:t xml:space="preserve">Natural Resources Law </w:t>
      </w:r>
      <w:proofErr w:type="spellStart"/>
      <w:r w:rsidRPr="00952C00">
        <w:rPr>
          <w:i/>
        </w:rPr>
        <w:t>Center</w:t>
      </w:r>
      <w:proofErr w:type="spellEnd"/>
      <w:r w:rsidRPr="00952C00">
        <w:rPr>
          <w:i/>
        </w:rPr>
        <w:t>, University of Colorado School of Law</w:t>
      </w:r>
      <w:r>
        <w:t>.</w:t>
      </w:r>
    </w:p>
  </w:footnote>
  <w:footnote w:id="81">
    <w:p w:rsidR="007211D0" w:rsidRDefault="007211D0">
      <w:pPr>
        <w:pStyle w:val="FootnoteText"/>
      </w:pPr>
      <w:r>
        <w:rPr>
          <w:rStyle w:val="FootnoteReference"/>
        </w:rPr>
        <w:footnoteRef/>
      </w:r>
      <w:r>
        <w:t xml:space="preserve"> </w:t>
      </w:r>
      <w:r w:rsidRPr="00413FA4">
        <w:rPr>
          <w:i/>
        </w:rPr>
        <w:t>Land and Titles Act</w:t>
      </w:r>
      <w:r>
        <w:t xml:space="preserve"> s 241.</w:t>
      </w:r>
    </w:p>
  </w:footnote>
  <w:footnote w:id="82">
    <w:p w:rsidR="007211D0" w:rsidRDefault="007211D0" w:rsidP="00FC0D13">
      <w:pPr>
        <w:pStyle w:val="FootnoteText"/>
      </w:pPr>
      <w:r>
        <w:rPr>
          <w:rStyle w:val="FootnoteReference"/>
        </w:rPr>
        <w:footnoteRef/>
      </w:r>
      <w:r>
        <w:t xml:space="preserve"> </w:t>
      </w:r>
      <w:proofErr w:type="gramStart"/>
      <w:r w:rsidRPr="00FB19CA">
        <w:rPr>
          <w:i/>
        </w:rPr>
        <w:t>Local Courts Act</w:t>
      </w:r>
      <w:r>
        <w:t xml:space="preserve"> s 12 &lt;</w:t>
      </w:r>
      <w:hyperlink r:id="rId20" w:history="1">
        <w:r w:rsidRPr="000E2F39">
          <w:rPr>
            <w:rStyle w:val="Hyperlink"/>
          </w:rPr>
          <w:t>http://www.paclii.org/sb/legis/consol_act/lca149/</w:t>
        </w:r>
      </w:hyperlink>
      <w:r>
        <w:t>&gt;.</w:t>
      </w:r>
      <w:proofErr w:type="gramEnd"/>
    </w:p>
  </w:footnote>
  <w:footnote w:id="83">
    <w:p w:rsidR="007211D0" w:rsidRDefault="007211D0" w:rsidP="00FC0D13">
      <w:pPr>
        <w:pStyle w:val="FootnoteText"/>
      </w:pPr>
      <w:r>
        <w:rPr>
          <w:rStyle w:val="FootnoteReference"/>
        </w:rPr>
        <w:footnoteRef/>
      </w:r>
      <w:r>
        <w:t xml:space="preserve"> Jennifer </w:t>
      </w:r>
      <w:proofErr w:type="spellStart"/>
      <w:r>
        <w:t>Corrin</w:t>
      </w:r>
      <w:proofErr w:type="spellEnd"/>
      <w:r>
        <w:t>, 'Customary Land in Solomon Islands: A Victim of Legal Pluralism' in Anthony Angelo and Yves-Louis Sage (</w:t>
      </w:r>
      <w:proofErr w:type="spellStart"/>
      <w:proofErr w:type="gramStart"/>
      <w:r>
        <w:t>ed</w:t>
      </w:r>
      <w:proofErr w:type="spellEnd"/>
      <w:proofErr w:type="gramEnd"/>
      <w:r>
        <w:t xml:space="preserve">) (2011) </w:t>
      </w:r>
      <w:proofErr w:type="spellStart"/>
      <w:r w:rsidRPr="00AE7185">
        <w:rPr>
          <w:i/>
        </w:rPr>
        <w:t>Droit</w:t>
      </w:r>
      <w:proofErr w:type="spellEnd"/>
      <w:r w:rsidRPr="00AE7185">
        <w:rPr>
          <w:i/>
        </w:rPr>
        <w:t xml:space="preserve"> </w:t>
      </w:r>
      <w:proofErr w:type="spellStart"/>
      <w:r w:rsidRPr="00AE7185">
        <w:rPr>
          <w:i/>
        </w:rPr>
        <w:t>Froncier</w:t>
      </w:r>
      <w:proofErr w:type="spellEnd"/>
      <w:r w:rsidRPr="00AE7185">
        <w:rPr>
          <w:i/>
        </w:rPr>
        <w:t xml:space="preserve"> Et </w:t>
      </w:r>
      <w:proofErr w:type="spellStart"/>
      <w:r w:rsidRPr="00AE7185">
        <w:rPr>
          <w:i/>
        </w:rPr>
        <w:t>Gouvernance</w:t>
      </w:r>
      <w:proofErr w:type="spellEnd"/>
      <w:r w:rsidRPr="00AE7185">
        <w:rPr>
          <w:i/>
        </w:rPr>
        <w:t xml:space="preserve"> </w:t>
      </w:r>
      <w:proofErr w:type="spellStart"/>
      <w:r w:rsidRPr="00AE7185">
        <w:rPr>
          <w:i/>
        </w:rPr>
        <w:t>Judiciarire</w:t>
      </w:r>
      <w:proofErr w:type="spellEnd"/>
      <w:r w:rsidRPr="00AE7185">
        <w:rPr>
          <w:i/>
        </w:rPr>
        <w:t xml:space="preserve"> </w:t>
      </w:r>
      <w:proofErr w:type="spellStart"/>
      <w:r w:rsidRPr="00AE7185">
        <w:rPr>
          <w:i/>
        </w:rPr>
        <w:t>Dans</w:t>
      </w:r>
      <w:proofErr w:type="spellEnd"/>
      <w:r w:rsidRPr="00AE7185">
        <w:rPr>
          <w:i/>
        </w:rPr>
        <w:t xml:space="preserve"> Le </w:t>
      </w:r>
      <w:proofErr w:type="spellStart"/>
      <w:r w:rsidRPr="00AE7185">
        <w:rPr>
          <w:i/>
        </w:rPr>
        <w:t>Pacifique</w:t>
      </w:r>
      <w:proofErr w:type="spellEnd"/>
      <w:r w:rsidRPr="00AE7185">
        <w:rPr>
          <w:i/>
        </w:rPr>
        <w:t>: Land Law and Governance in the South Pacific</w:t>
      </w:r>
      <w:r>
        <w:t xml:space="preserve"> xii.</w:t>
      </w:r>
    </w:p>
  </w:footnote>
  <w:footnote w:id="84">
    <w:p w:rsidR="007211D0" w:rsidRDefault="007211D0" w:rsidP="00FC0D13">
      <w:pPr>
        <w:pStyle w:val="FootnoteText"/>
      </w:pPr>
      <w:r>
        <w:rPr>
          <w:rStyle w:val="FootnoteReference"/>
        </w:rPr>
        <w:footnoteRef/>
      </w:r>
      <w:r>
        <w:t xml:space="preserve"> Matthew Allen &amp; </w:t>
      </w:r>
      <w:proofErr w:type="spellStart"/>
      <w:r>
        <w:t>Ors</w:t>
      </w:r>
      <w:proofErr w:type="spellEnd"/>
      <w:r>
        <w:t xml:space="preserve">, 'Research Report, </w:t>
      </w:r>
      <w:r w:rsidRPr="009F70F7">
        <w:t xml:space="preserve">Justice Delivered Locally: Systems, Challenges and Innovations in Solomon Islands' </w:t>
      </w:r>
      <w:r>
        <w:t xml:space="preserve">(August 2013) </w:t>
      </w:r>
      <w:r w:rsidRPr="009F70F7">
        <w:rPr>
          <w:i/>
        </w:rPr>
        <w:t xml:space="preserve">The World Bank </w:t>
      </w:r>
      <w:r>
        <w:t>&lt;</w:t>
      </w:r>
      <w:hyperlink r:id="rId21" w:history="1">
        <w:r w:rsidRPr="00E526AD">
          <w:rPr>
            <w:rStyle w:val="Hyperlink"/>
          </w:rPr>
          <w:t>http://documents.worldbank.org/curated/en/353081468308114790/pdf/812990WP0DL0Se0Box0379833B00PUBLIC0.pdf</w:t>
        </w:r>
      </w:hyperlink>
      <w:r>
        <w:t>&gt;.</w:t>
      </w:r>
    </w:p>
  </w:footnote>
  <w:footnote w:id="85">
    <w:p w:rsidR="007211D0" w:rsidRDefault="007211D0" w:rsidP="00FC0D13">
      <w:pPr>
        <w:pStyle w:val="FootnoteText"/>
      </w:pPr>
      <w:r>
        <w:rPr>
          <w:rStyle w:val="FootnoteReference"/>
        </w:rPr>
        <w:footnoteRef/>
      </w:r>
      <w:r>
        <w:t xml:space="preserve"> </w:t>
      </w:r>
      <w:r w:rsidRPr="00737233">
        <w:t>Ibid</w:t>
      </w:r>
      <w:r>
        <w:t>.</w:t>
      </w:r>
    </w:p>
  </w:footnote>
  <w:footnote w:id="86">
    <w:p w:rsidR="007211D0" w:rsidRDefault="007211D0" w:rsidP="00FC0D13">
      <w:pPr>
        <w:pStyle w:val="FootnoteText"/>
      </w:pPr>
      <w:r>
        <w:rPr>
          <w:rStyle w:val="FootnoteReference"/>
        </w:rPr>
        <w:footnoteRef/>
      </w:r>
      <w:r>
        <w:t xml:space="preserve"> </w:t>
      </w:r>
      <w:r w:rsidRPr="00EC5221">
        <w:rPr>
          <w:i/>
        </w:rPr>
        <w:t xml:space="preserve">Land and Titles Act </w:t>
      </w:r>
      <w:r>
        <w:t>s 254(1).</w:t>
      </w:r>
    </w:p>
  </w:footnote>
  <w:footnote w:id="87">
    <w:p w:rsidR="007211D0" w:rsidRDefault="007211D0" w:rsidP="00FC0D13">
      <w:pPr>
        <w:pStyle w:val="FootnoteText"/>
      </w:pPr>
      <w:r>
        <w:rPr>
          <w:rStyle w:val="FootnoteReference"/>
        </w:rPr>
        <w:footnoteRef/>
      </w:r>
      <w:r>
        <w:t xml:space="preserve"> Jennifer </w:t>
      </w:r>
      <w:proofErr w:type="spellStart"/>
      <w:r>
        <w:t>Corrin</w:t>
      </w:r>
      <w:proofErr w:type="spellEnd"/>
      <w:r>
        <w:t>, 'Customary Land in Solomon Islands: A Victim of Legal Pluralism' in Anthony Angelo and Yves-Louis Sage (</w:t>
      </w:r>
      <w:proofErr w:type="spellStart"/>
      <w:proofErr w:type="gramStart"/>
      <w:r>
        <w:t>ed</w:t>
      </w:r>
      <w:proofErr w:type="spellEnd"/>
      <w:proofErr w:type="gramEnd"/>
      <w:r>
        <w:t xml:space="preserve">) (2011) </w:t>
      </w:r>
      <w:proofErr w:type="spellStart"/>
      <w:r w:rsidRPr="00AE7185">
        <w:rPr>
          <w:i/>
        </w:rPr>
        <w:t>Droit</w:t>
      </w:r>
      <w:proofErr w:type="spellEnd"/>
      <w:r w:rsidRPr="00AE7185">
        <w:rPr>
          <w:i/>
        </w:rPr>
        <w:t xml:space="preserve"> </w:t>
      </w:r>
      <w:proofErr w:type="spellStart"/>
      <w:r w:rsidRPr="00AE7185">
        <w:rPr>
          <w:i/>
        </w:rPr>
        <w:t>Froncier</w:t>
      </w:r>
      <w:proofErr w:type="spellEnd"/>
      <w:r w:rsidRPr="00AE7185">
        <w:rPr>
          <w:i/>
        </w:rPr>
        <w:t xml:space="preserve"> Et </w:t>
      </w:r>
      <w:proofErr w:type="spellStart"/>
      <w:r w:rsidRPr="00AE7185">
        <w:rPr>
          <w:i/>
        </w:rPr>
        <w:t>Gouvernance</w:t>
      </w:r>
      <w:proofErr w:type="spellEnd"/>
      <w:r w:rsidRPr="00AE7185">
        <w:rPr>
          <w:i/>
        </w:rPr>
        <w:t xml:space="preserve"> </w:t>
      </w:r>
      <w:proofErr w:type="spellStart"/>
      <w:r w:rsidRPr="00AE7185">
        <w:rPr>
          <w:i/>
        </w:rPr>
        <w:t>Judiciarire</w:t>
      </w:r>
      <w:proofErr w:type="spellEnd"/>
      <w:r w:rsidRPr="00AE7185">
        <w:rPr>
          <w:i/>
        </w:rPr>
        <w:t xml:space="preserve"> </w:t>
      </w:r>
      <w:proofErr w:type="spellStart"/>
      <w:r w:rsidRPr="00AE7185">
        <w:rPr>
          <w:i/>
        </w:rPr>
        <w:t>Dans</w:t>
      </w:r>
      <w:proofErr w:type="spellEnd"/>
      <w:r w:rsidRPr="00AE7185">
        <w:rPr>
          <w:i/>
        </w:rPr>
        <w:t xml:space="preserve"> Le </w:t>
      </w:r>
      <w:proofErr w:type="spellStart"/>
      <w:r w:rsidRPr="00AE7185">
        <w:rPr>
          <w:i/>
        </w:rPr>
        <w:t>Pacifique</w:t>
      </w:r>
      <w:proofErr w:type="spellEnd"/>
      <w:r w:rsidRPr="00AE7185">
        <w:rPr>
          <w:i/>
        </w:rPr>
        <w:t>: Land Law and Governance in the South Pacific</w:t>
      </w:r>
      <w:r>
        <w:t xml:space="preserve"> xii.</w:t>
      </w:r>
    </w:p>
  </w:footnote>
  <w:footnote w:id="88">
    <w:p w:rsidR="007211D0" w:rsidRDefault="007211D0" w:rsidP="00FC0D13">
      <w:pPr>
        <w:pStyle w:val="FootnoteText"/>
      </w:pPr>
      <w:r>
        <w:rPr>
          <w:rStyle w:val="FootnoteReference"/>
        </w:rPr>
        <w:footnoteRef/>
      </w:r>
      <w:r>
        <w:t xml:space="preserve"> Ibid.</w:t>
      </w:r>
    </w:p>
  </w:footnote>
  <w:footnote w:id="89">
    <w:p w:rsidR="007211D0" w:rsidRDefault="007211D0" w:rsidP="00FC0D13">
      <w:pPr>
        <w:pStyle w:val="FootnoteText"/>
      </w:pPr>
      <w:r>
        <w:rPr>
          <w:rStyle w:val="FootnoteReference"/>
        </w:rPr>
        <w:footnoteRef/>
      </w:r>
      <w:r>
        <w:t xml:space="preserve"> </w:t>
      </w:r>
      <w:r w:rsidRPr="00EC5221">
        <w:rPr>
          <w:i/>
        </w:rPr>
        <w:t>Land and Titles Act</w:t>
      </w:r>
      <w:r>
        <w:rPr>
          <w:i/>
        </w:rPr>
        <w:t xml:space="preserve"> </w:t>
      </w:r>
      <w:r>
        <w:t>s 255(6).</w:t>
      </w:r>
    </w:p>
  </w:footnote>
  <w:footnote w:id="90">
    <w:p w:rsidR="007211D0" w:rsidRDefault="007211D0" w:rsidP="00FC0D13">
      <w:pPr>
        <w:pStyle w:val="FootnoteText"/>
      </w:pPr>
      <w:r>
        <w:rPr>
          <w:rStyle w:val="FootnoteReference"/>
        </w:rPr>
        <w:footnoteRef/>
      </w:r>
      <w:r>
        <w:t xml:space="preserve"> </w:t>
      </w:r>
      <w:r w:rsidRPr="00EC5221">
        <w:rPr>
          <w:i/>
        </w:rPr>
        <w:t>Land and Titles Act</w:t>
      </w:r>
      <w:r>
        <w:rPr>
          <w:i/>
        </w:rPr>
        <w:t xml:space="preserve"> </w:t>
      </w:r>
      <w:r>
        <w:t>s 256(3).</w:t>
      </w:r>
    </w:p>
  </w:footnote>
  <w:footnote w:id="91">
    <w:p w:rsidR="007211D0" w:rsidRDefault="007211D0" w:rsidP="00FC0D13">
      <w:pPr>
        <w:pStyle w:val="FootnoteText"/>
      </w:pPr>
      <w:r>
        <w:rPr>
          <w:rStyle w:val="FootnoteReference"/>
        </w:rPr>
        <w:footnoteRef/>
      </w:r>
      <w:r>
        <w:t xml:space="preserve"> </w:t>
      </w:r>
      <w:r w:rsidRPr="00EC5221">
        <w:rPr>
          <w:i/>
        </w:rPr>
        <w:t>Land and Titles Act</w:t>
      </w:r>
      <w:r>
        <w:rPr>
          <w:i/>
        </w:rPr>
        <w:t xml:space="preserve"> </w:t>
      </w:r>
      <w:r>
        <w:t>s 257(4).</w:t>
      </w:r>
    </w:p>
  </w:footnote>
  <w:footnote w:id="92">
    <w:p w:rsidR="007211D0" w:rsidRDefault="007211D0" w:rsidP="00FC0D13">
      <w:pPr>
        <w:pStyle w:val="FootnoteText"/>
      </w:pPr>
      <w:r>
        <w:rPr>
          <w:rStyle w:val="FootnoteReference"/>
        </w:rPr>
        <w:footnoteRef/>
      </w:r>
      <w:r>
        <w:t xml:space="preserve"> </w:t>
      </w:r>
      <w:proofErr w:type="gramStart"/>
      <w:r w:rsidRPr="00EC5221">
        <w:rPr>
          <w:i/>
        </w:rPr>
        <w:t>Land and Titles Act</w:t>
      </w:r>
      <w:r>
        <w:rPr>
          <w:i/>
        </w:rPr>
        <w:t xml:space="preserve"> </w:t>
      </w:r>
      <w:r>
        <w:t xml:space="preserve">s 257(1); </w:t>
      </w:r>
      <w:r w:rsidRPr="003767F4">
        <w:rPr>
          <w:i/>
        </w:rPr>
        <w:t>Court of Appeal Act</w:t>
      </w:r>
      <w:r>
        <w:t xml:space="preserve"> s 11</w:t>
      </w:r>
      <w:r w:rsidRPr="00D560E2">
        <w:t xml:space="preserve"> </w:t>
      </w:r>
      <w:r>
        <w:t>&lt;</w:t>
      </w:r>
      <w:r w:rsidRPr="00D560E2">
        <w:t>http://www.paclii.org/sb/legis/consol_act/coaa157/</w:t>
      </w:r>
      <w:r>
        <w:t>&gt;.</w:t>
      </w:r>
      <w:proofErr w:type="gramEnd"/>
      <w:r>
        <w:t xml:space="preserve"> </w:t>
      </w:r>
      <w:r w:rsidRPr="00D560E2">
        <w:t xml:space="preserve"> </w:t>
      </w:r>
    </w:p>
  </w:footnote>
  <w:footnote w:id="93">
    <w:p w:rsidR="007211D0" w:rsidRDefault="007211D0" w:rsidP="00FC0D13">
      <w:pPr>
        <w:pStyle w:val="FootnoteText"/>
      </w:pPr>
      <w:r>
        <w:rPr>
          <w:rStyle w:val="FootnoteReference"/>
        </w:rPr>
        <w:footnoteRef/>
      </w:r>
      <w:r>
        <w:t xml:space="preserve"> </w:t>
      </w:r>
      <w:r w:rsidRPr="00DE5BAC">
        <w:rPr>
          <w:i/>
        </w:rPr>
        <w:t xml:space="preserve">Land </w:t>
      </w:r>
      <w:r>
        <w:rPr>
          <w:i/>
        </w:rPr>
        <w:t xml:space="preserve">and </w:t>
      </w:r>
      <w:r w:rsidRPr="00DE5BAC">
        <w:rPr>
          <w:i/>
        </w:rPr>
        <w:t xml:space="preserve">Titles Act </w:t>
      </w:r>
      <w:proofErr w:type="spellStart"/>
      <w:r>
        <w:t>ss</w:t>
      </w:r>
      <w:proofErr w:type="spellEnd"/>
      <w:r>
        <w:t xml:space="preserve"> 60, 71.</w:t>
      </w:r>
    </w:p>
  </w:footnote>
  <w:footnote w:id="94">
    <w:p w:rsidR="007211D0" w:rsidRDefault="007211D0" w:rsidP="00FC0D13">
      <w:pPr>
        <w:pStyle w:val="FootnoteText"/>
      </w:pPr>
      <w:r w:rsidRPr="00C96FF9">
        <w:rPr>
          <w:rStyle w:val="FootnoteReference"/>
        </w:rPr>
        <w:footnoteRef/>
      </w:r>
      <w:r w:rsidRPr="00C96FF9">
        <w:t xml:space="preserve"> Jennifer </w:t>
      </w:r>
      <w:proofErr w:type="spellStart"/>
      <w:r w:rsidRPr="00C96FF9">
        <w:t>Corrin</w:t>
      </w:r>
      <w:proofErr w:type="spellEnd"/>
      <w:r w:rsidRPr="00C96FF9">
        <w:t>, 'Customary Land in Solomon Islands: A Victim of Legal Pluralism' in Antho</w:t>
      </w:r>
      <w:r>
        <w:t>ny Angelo and Yves-Louis Sage (</w:t>
      </w:r>
      <w:proofErr w:type="spellStart"/>
      <w:proofErr w:type="gramStart"/>
      <w:r>
        <w:t>e</w:t>
      </w:r>
      <w:r w:rsidRPr="00C96FF9">
        <w:t>d</w:t>
      </w:r>
      <w:proofErr w:type="spellEnd"/>
      <w:proofErr w:type="gramEnd"/>
      <w:r w:rsidRPr="00C96FF9">
        <w:t xml:space="preserve">) </w:t>
      </w:r>
      <w:r>
        <w:t xml:space="preserve">(2011) </w:t>
      </w:r>
      <w:proofErr w:type="spellStart"/>
      <w:r w:rsidRPr="00C96FF9">
        <w:rPr>
          <w:i/>
        </w:rPr>
        <w:t>Droit</w:t>
      </w:r>
      <w:proofErr w:type="spellEnd"/>
      <w:r w:rsidRPr="00C96FF9">
        <w:rPr>
          <w:i/>
        </w:rPr>
        <w:t xml:space="preserve"> </w:t>
      </w:r>
      <w:proofErr w:type="spellStart"/>
      <w:r w:rsidRPr="00C96FF9">
        <w:rPr>
          <w:i/>
        </w:rPr>
        <w:t>Froncier</w:t>
      </w:r>
      <w:proofErr w:type="spellEnd"/>
      <w:r w:rsidRPr="00C96FF9">
        <w:rPr>
          <w:i/>
        </w:rPr>
        <w:t xml:space="preserve"> Et </w:t>
      </w:r>
      <w:proofErr w:type="spellStart"/>
      <w:r w:rsidRPr="00C96FF9">
        <w:rPr>
          <w:i/>
        </w:rPr>
        <w:t>Gouvernance</w:t>
      </w:r>
      <w:proofErr w:type="spellEnd"/>
      <w:r w:rsidRPr="00C96FF9">
        <w:rPr>
          <w:i/>
        </w:rPr>
        <w:t xml:space="preserve"> </w:t>
      </w:r>
      <w:proofErr w:type="spellStart"/>
      <w:r w:rsidRPr="00C96FF9">
        <w:rPr>
          <w:i/>
        </w:rPr>
        <w:t>Judiciarire</w:t>
      </w:r>
      <w:proofErr w:type="spellEnd"/>
      <w:r w:rsidRPr="00C96FF9">
        <w:rPr>
          <w:i/>
        </w:rPr>
        <w:t xml:space="preserve"> </w:t>
      </w:r>
      <w:proofErr w:type="spellStart"/>
      <w:r w:rsidRPr="00C96FF9">
        <w:rPr>
          <w:i/>
        </w:rPr>
        <w:t>Dans</w:t>
      </w:r>
      <w:proofErr w:type="spellEnd"/>
      <w:r w:rsidRPr="00C96FF9">
        <w:rPr>
          <w:i/>
        </w:rPr>
        <w:t xml:space="preserve"> Le </w:t>
      </w:r>
      <w:proofErr w:type="spellStart"/>
      <w:r w:rsidRPr="00C96FF9">
        <w:rPr>
          <w:i/>
        </w:rPr>
        <w:t>Pacifique</w:t>
      </w:r>
      <w:proofErr w:type="spellEnd"/>
      <w:r w:rsidRPr="00C96FF9">
        <w:rPr>
          <w:i/>
        </w:rPr>
        <w:t>: Land Law and Governance in the South Pacific</w:t>
      </w:r>
      <w:r w:rsidRPr="00C96FF9">
        <w:t xml:space="preserve"> </w:t>
      </w:r>
      <w:r>
        <w:t>xii, 230.</w:t>
      </w:r>
    </w:p>
  </w:footnote>
  <w:footnote w:id="95">
    <w:p w:rsidR="007211D0" w:rsidRPr="005E7246" w:rsidRDefault="007211D0" w:rsidP="00FC0D13">
      <w:pPr>
        <w:pStyle w:val="FootnoteText"/>
      </w:pPr>
      <w:r>
        <w:rPr>
          <w:rStyle w:val="FootnoteReference"/>
        </w:rPr>
        <w:footnoteRef/>
      </w:r>
      <w:r>
        <w:t xml:space="preserve"> </w:t>
      </w:r>
      <w:proofErr w:type="gramStart"/>
      <w:r w:rsidRPr="005E7246">
        <w:rPr>
          <w:i/>
        </w:rPr>
        <w:t>Customary Land Records Act</w:t>
      </w:r>
      <w:r>
        <w:rPr>
          <w:i/>
        </w:rPr>
        <w:t xml:space="preserve"> </w:t>
      </w:r>
      <w:r>
        <w:t>s 9(1) &lt;</w:t>
      </w:r>
      <w:hyperlink r:id="rId22" w:history="1">
        <w:r w:rsidRPr="000E2F39">
          <w:rPr>
            <w:rStyle w:val="Hyperlink"/>
          </w:rPr>
          <w:t>http://www.paclii.org/sb/legis/consol_act/clra249/</w:t>
        </w:r>
      </w:hyperlink>
      <w:r>
        <w:t>&gt;.</w:t>
      </w:r>
      <w:proofErr w:type="gramEnd"/>
    </w:p>
  </w:footnote>
  <w:footnote w:id="96">
    <w:p w:rsidR="007211D0" w:rsidRPr="00FE30EE" w:rsidRDefault="007211D0">
      <w:pPr>
        <w:pStyle w:val="FootnoteText"/>
        <w:rPr>
          <w:lang w:val="en-US"/>
        </w:rPr>
      </w:pPr>
      <w:r>
        <w:rPr>
          <w:rStyle w:val="FootnoteReference"/>
        </w:rPr>
        <w:footnoteRef/>
      </w:r>
      <w:r>
        <w:t xml:space="preserve"> Email from Alan McNeil, Chief Technical Advisor at the Solomon Islands Ministry of Lands, Housing and Survey, to Mark </w:t>
      </w:r>
      <w:proofErr w:type="spellStart"/>
      <w:r>
        <w:t>Leersnyder</w:t>
      </w:r>
      <w:proofErr w:type="spellEnd"/>
      <w:r>
        <w:t>, 19 February 2017.</w:t>
      </w:r>
    </w:p>
  </w:footnote>
  <w:footnote w:id="97">
    <w:p w:rsidR="007211D0" w:rsidRDefault="007211D0" w:rsidP="00FC0D13">
      <w:pPr>
        <w:pStyle w:val="FootnoteText"/>
      </w:pPr>
      <w:r>
        <w:rPr>
          <w:rStyle w:val="FootnoteReference"/>
        </w:rPr>
        <w:footnoteRef/>
      </w:r>
      <w:r>
        <w:t xml:space="preserve"> </w:t>
      </w:r>
      <w:proofErr w:type="gramStart"/>
      <w:r>
        <w:t xml:space="preserve">Ministry for Lands, Housing and Survey, </w:t>
      </w:r>
      <w:r w:rsidRPr="00B5487B">
        <w:rPr>
          <w:i/>
        </w:rPr>
        <w:t>Land Reform</w:t>
      </w:r>
      <w:r>
        <w:t xml:space="preserve"> &lt;</w:t>
      </w:r>
      <w:hyperlink r:id="rId23" w:history="1">
        <w:r w:rsidRPr="00D17CF3">
          <w:rPr>
            <w:rStyle w:val="Hyperlink"/>
          </w:rPr>
          <w:t>http://www.lands.gov.sb/divisions/land-reform.html</w:t>
        </w:r>
      </w:hyperlink>
      <w:r>
        <w:t>&gt;.</w:t>
      </w:r>
      <w:proofErr w:type="gramEnd"/>
    </w:p>
  </w:footnote>
  <w:footnote w:id="98">
    <w:p w:rsidR="007211D0" w:rsidRDefault="007211D0" w:rsidP="00FC0D13">
      <w:pPr>
        <w:pStyle w:val="FootnoteText"/>
      </w:pPr>
      <w:r>
        <w:rPr>
          <w:rStyle w:val="FootnoteReference"/>
        </w:rPr>
        <w:footnoteRef/>
      </w:r>
      <w:r>
        <w:t xml:space="preserve"> Jennifer </w:t>
      </w:r>
      <w:proofErr w:type="spellStart"/>
      <w:r>
        <w:t>Corrin</w:t>
      </w:r>
      <w:proofErr w:type="spellEnd"/>
      <w:r>
        <w:t>, 'Customary Land in Solomon Islands: A Victim of Legal Pluralism' in Anthony Angelo and Yves-Louis Sage (</w:t>
      </w:r>
      <w:proofErr w:type="spellStart"/>
      <w:proofErr w:type="gramStart"/>
      <w:r>
        <w:t>ed</w:t>
      </w:r>
      <w:proofErr w:type="spellEnd"/>
      <w:proofErr w:type="gramEnd"/>
      <w:r>
        <w:t xml:space="preserve">) (2011) </w:t>
      </w:r>
      <w:proofErr w:type="spellStart"/>
      <w:r w:rsidRPr="00AE7185">
        <w:rPr>
          <w:i/>
        </w:rPr>
        <w:t>Droit</w:t>
      </w:r>
      <w:proofErr w:type="spellEnd"/>
      <w:r w:rsidRPr="00AE7185">
        <w:rPr>
          <w:i/>
        </w:rPr>
        <w:t xml:space="preserve"> </w:t>
      </w:r>
      <w:proofErr w:type="spellStart"/>
      <w:r w:rsidRPr="00AE7185">
        <w:rPr>
          <w:i/>
        </w:rPr>
        <w:t>Froncier</w:t>
      </w:r>
      <w:proofErr w:type="spellEnd"/>
      <w:r w:rsidRPr="00AE7185">
        <w:rPr>
          <w:i/>
        </w:rPr>
        <w:t xml:space="preserve"> Et </w:t>
      </w:r>
      <w:proofErr w:type="spellStart"/>
      <w:r w:rsidRPr="00AE7185">
        <w:rPr>
          <w:i/>
        </w:rPr>
        <w:t>Gouvernance</w:t>
      </w:r>
      <w:proofErr w:type="spellEnd"/>
      <w:r w:rsidRPr="00AE7185">
        <w:rPr>
          <w:i/>
        </w:rPr>
        <w:t xml:space="preserve"> </w:t>
      </w:r>
      <w:proofErr w:type="spellStart"/>
      <w:r w:rsidRPr="00AE7185">
        <w:rPr>
          <w:i/>
        </w:rPr>
        <w:t>Judiciarire</w:t>
      </w:r>
      <w:proofErr w:type="spellEnd"/>
      <w:r w:rsidRPr="00AE7185">
        <w:rPr>
          <w:i/>
        </w:rPr>
        <w:t xml:space="preserve"> </w:t>
      </w:r>
      <w:proofErr w:type="spellStart"/>
      <w:r w:rsidRPr="00AE7185">
        <w:rPr>
          <w:i/>
        </w:rPr>
        <w:t>Dans</w:t>
      </w:r>
      <w:proofErr w:type="spellEnd"/>
      <w:r w:rsidRPr="00AE7185">
        <w:rPr>
          <w:i/>
        </w:rPr>
        <w:t xml:space="preserve"> Le </w:t>
      </w:r>
      <w:proofErr w:type="spellStart"/>
      <w:r w:rsidRPr="00AE7185">
        <w:rPr>
          <w:i/>
        </w:rPr>
        <w:t>Pacifique</w:t>
      </w:r>
      <w:proofErr w:type="spellEnd"/>
      <w:r w:rsidRPr="00AE7185">
        <w:rPr>
          <w:i/>
        </w:rPr>
        <w:t>: Land Law and Governance in the South Pacific</w:t>
      </w:r>
      <w:r>
        <w:t xml:space="preserve"> xii.</w:t>
      </w:r>
    </w:p>
  </w:footnote>
  <w:footnote w:id="99">
    <w:p w:rsidR="007211D0" w:rsidRPr="00607E95" w:rsidRDefault="007211D0">
      <w:pPr>
        <w:pStyle w:val="FootnoteText"/>
        <w:rPr>
          <w:lang w:val="en-US"/>
        </w:rPr>
      </w:pPr>
      <w:r>
        <w:rPr>
          <w:rStyle w:val="FootnoteReference"/>
        </w:rPr>
        <w:footnoteRef/>
      </w:r>
      <w:r>
        <w:t xml:space="preserve"> </w:t>
      </w:r>
      <w:r>
        <w:rPr>
          <w:lang w:val="en-US"/>
        </w:rPr>
        <w:t xml:space="preserve">George </w:t>
      </w:r>
      <w:proofErr w:type="spellStart"/>
      <w:r>
        <w:rPr>
          <w:lang w:val="en-US"/>
        </w:rPr>
        <w:t>Manford</w:t>
      </w:r>
      <w:proofErr w:type="spellEnd"/>
      <w:r>
        <w:rPr>
          <w:lang w:val="en-US"/>
        </w:rPr>
        <w:t>, '</w:t>
      </w:r>
      <w:proofErr w:type="spellStart"/>
      <w:r>
        <w:rPr>
          <w:lang w:val="en-US"/>
        </w:rPr>
        <w:t>Malaita</w:t>
      </w:r>
      <w:proofErr w:type="spellEnd"/>
      <w:r>
        <w:rPr>
          <w:lang w:val="en-US"/>
        </w:rPr>
        <w:t xml:space="preserve"> Land Recording to Begin Soon', </w:t>
      </w:r>
      <w:r>
        <w:rPr>
          <w:i/>
          <w:lang w:val="en-US"/>
        </w:rPr>
        <w:t xml:space="preserve">The Island Sun </w:t>
      </w:r>
      <w:r w:rsidRPr="00607E95">
        <w:rPr>
          <w:lang w:val="en-US"/>
        </w:rPr>
        <w:t>(</w:t>
      </w:r>
      <w:r>
        <w:rPr>
          <w:lang w:val="en-US"/>
        </w:rPr>
        <w:t>online), 15 February 2017 &lt;</w:t>
      </w:r>
      <w:hyperlink r:id="rId24" w:history="1">
        <w:r w:rsidRPr="00607E95">
          <w:rPr>
            <w:rStyle w:val="Hyperlink"/>
            <w:lang w:val="en-US"/>
          </w:rPr>
          <w:t>http://theislandsun.com/malaita-land-recording-to-begin-soon</w:t>
        </w:r>
      </w:hyperlink>
      <w:r w:rsidRPr="00607E95">
        <w:rPr>
          <w:lang w:val="en-US"/>
        </w:rPr>
        <w:t>/</w:t>
      </w:r>
      <w:r>
        <w:rPr>
          <w:lang w:val="en-US"/>
        </w:rPr>
        <w:t>&gt;.</w:t>
      </w:r>
    </w:p>
  </w:footnote>
  <w:footnote w:id="100">
    <w:p w:rsidR="007211D0" w:rsidRPr="00932CC7" w:rsidRDefault="007211D0">
      <w:pPr>
        <w:pStyle w:val="FootnoteText"/>
      </w:pPr>
      <w:r>
        <w:rPr>
          <w:rStyle w:val="FootnoteReference"/>
        </w:rPr>
        <w:footnoteRef/>
      </w:r>
      <w:r>
        <w:t xml:space="preserve"> See generally the </w:t>
      </w:r>
      <w:r w:rsidRPr="005E7246">
        <w:rPr>
          <w:i/>
        </w:rPr>
        <w:t>Customary Land Records Act</w:t>
      </w:r>
      <w:r w:rsidRPr="005C20DC">
        <w:t>.</w:t>
      </w:r>
      <w:r>
        <w:rPr>
          <w:i/>
        </w:rPr>
        <w:t xml:space="preserve"> </w:t>
      </w:r>
    </w:p>
  </w:footnote>
  <w:footnote w:id="101">
    <w:p w:rsidR="007211D0" w:rsidRDefault="007211D0" w:rsidP="00FC0D13">
      <w:pPr>
        <w:pStyle w:val="FootnoteText"/>
      </w:pPr>
      <w:r>
        <w:rPr>
          <w:rStyle w:val="FootnoteReference"/>
        </w:rPr>
        <w:footnoteRef/>
      </w:r>
      <w:r>
        <w:t xml:space="preserve"> Jennifer </w:t>
      </w:r>
      <w:proofErr w:type="spellStart"/>
      <w:r>
        <w:t>Corrin</w:t>
      </w:r>
      <w:proofErr w:type="spellEnd"/>
      <w:r>
        <w:t>, 'Customary Land in Solomon Islands: A Victim of Legal Pluralism' in Anthony Angelo and Yves-Louis Sage (</w:t>
      </w:r>
      <w:proofErr w:type="spellStart"/>
      <w:proofErr w:type="gramStart"/>
      <w:r>
        <w:t>ed</w:t>
      </w:r>
      <w:proofErr w:type="spellEnd"/>
      <w:proofErr w:type="gramEnd"/>
      <w:r>
        <w:t xml:space="preserve">) (2011) </w:t>
      </w:r>
      <w:proofErr w:type="spellStart"/>
      <w:r w:rsidRPr="00AE7185">
        <w:rPr>
          <w:i/>
        </w:rPr>
        <w:t>Droit</w:t>
      </w:r>
      <w:proofErr w:type="spellEnd"/>
      <w:r w:rsidRPr="00AE7185">
        <w:rPr>
          <w:i/>
        </w:rPr>
        <w:t xml:space="preserve"> </w:t>
      </w:r>
      <w:proofErr w:type="spellStart"/>
      <w:r w:rsidRPr="00AE7185">
        <w:rPr>
          <w:i/>
        </w:rPr>
        <w:t>Froncier</w:t>
      </w:r>
      <w:proofErr w:type="spellEnd"/>
      <w:r w:rsidRPr="00AE7185">
        <w:rPr>
          <w:i/>
        </w:rPr>
        <w:t xml:space="preserve"> Et </w:t>
      </w:r>
      <w:proofErr w:type="spellStart"/>
      <w:r w:rsidRPr="00AE7185">
        <w:rPr>
          <w:i/>
        </w:rPr>
        <w:t>Gouvernance</w:t>
      </w:r>
      <w:proofErr w:type="spellEnd"/>
      <w:r w:rsidRPr="00AE7185">
        <w:rPr>
          <w:i/>
        </w:rPr>
        <w:t xml:space="preserve"> </w:t>
      </w:r>
      <w:proofErr w:type="spellStart"/>
      <w:r w:rsidRPr="00AE7185">
        <w:rPr>
          <w:i/>
        </w:rPr>
        <w:t>Judiciarire</w:t>
      </w:r>
      <w:proofErr w:type="spellEnd"/>
      <w:r w:rsidRPr="00AE7185">
        <w:rPr>
          <w:i/>
        </w:rPr>
        <w:t xml:space="preserve"> </w:t>
      </w:r>
      <w:proofErr w:type="spellStart"/>
      <w:r w:rsidRPr="00AE7185">
        <w:rPr>
          <w:i/>
        </w:rPr>
        <w:t>Dans</w:t>
      </w:r>
      <w:proofErr w:type="spellEnd"/>
      <w:r w:rsidRPr="00AE7185">
        <w:rPr>
          <w:i/>
        </w:rPr>
        <w:t xml:space="preserve"> Le </w:t>
      </w:r>
      <w:proofErr w:type="spellStart"/>
      <w:r w:rsidRPr="00AE7185">
        <w:rPr>
          <w:i/>
        </w:rPr>
        <w:t>Pacifique</w:t>
      </w:r>
      <w:proofErr w:type="spellEnd"/>
      <w:r w:rsidRPr="00AE7185">
        <w:rPr>
          <w:i/>
        </w:rPr>
        <w:t>: Land Law and Governance in the South Pacific</w:t>
      </w:r>
      <w:r>
        <w:t xml:space="preserve"> xii, 233.</w:t>
      </w:r>
    </w:p>
  </w:footnote>
  <w:footnote w:id="102">
    <w:p w:rsidR="007211D0" w:rsidRDefault="007211D0">
      <w:pPr>
        <w:pStyle w:val="FootnoteText"/>
      </w:pPr>
      <w:r>
        <w:rPr>
          <w:rStyle w:val="FootnoteReference"/>
        </w:rPr>
        <w:footnoteRef/>
      </w:r>
      <w:r>
        <w:t xml:space="preserve"> </w:t>
      </w:r>
      <w:proofErr w:type="gramStart"/>
      <w:r w:rsidRPr="005E7246">
        <w:rPr>
          <w:i/>
        </w:rPr>
        <w:t>Customary Land Records Act</w:t>
      </w:r>
      <w:r>
        <w:rPr>
          <w:i/>
        </w:rPr>
        <w:t xml:space="preserve"> </w:t>
      </w:r>
      <w:r>
        <w:t>s 15.</w:t>
      </w:r>
      <w:proofErr w:type="gramEnd"/>
    </w:p>
  </w:footnote>
  <w:footnote w:id="103">
    <w:p w:rsidR="007211D0" w:rsidRDefault="007211D0">
      <w:pPr>
        <w:pStyle w:val="FootnoteText"/>
      </w:pPr>
      <w:r>
        <w:rPr>
          <w:rStyle w:val="FootnoteReference"/>
        </w:rPr>
        <w:footnoteRef/>
      </w:r>
      <w:r>
        <w:t xml:space="preserve"> </w:t>
      </w:r>
      <w:proofErr w:type="gramStart"/>
      <w:r w:rsidRPr="005E7246">
        <w:rPr>
          <w:i/>
        </w:rPr>
        <w:t>Customary Land Records Act</w:t>
      </w:r>
      <w:r>
        <w:rPr>
          <w:i/>
        </w:rPr>
        <w:t xml:space="preserve"> </w:t>
      </w:r>
      <w:r>
        <w:t>s 19.</w:t>
      </w:r>
      <w:proofErr w:type="gramEnd"/>
    </w:p>
  </w:footnote>
  <w:footnote w:id="104">
    <w:p w:rsidR="007211D0" w:rsidRDefault="007211D0" w:rsidP="00FC0D13">
      <w:pPr>
        <w:pStyle w:val="FootnoteText"/>
      </w:pPr>
      <w:r>
        <w:rPr>
          <w:rStyle w:val="FootnoteReference"/>
        </w:rPr>
        <w:footnoteRef/>
      </w:r>
      <w:r>
        <w:t xml:space="preserve"> </w:t>
      </w:r>
      <w:proofErr w:type="gramStart"/>
      <w:r>
        <w:t>Ibid, 233.</w:t>
      </w:r>
      <w:proofErr w:type="gramEnd"/>
    </w:p>
  </w:footnote>
  <w:footnote w:id="105">
    <w:p w:rsidR="007211D0" w:rsidRDefault="007211D0" w:rsidP="00FC0D13">
      <w:pPr>
        <w:pStyle w:val="FootnoteText"/>
      </w:pPr>
      <w:r>
        <w:rPr>
          <w:rStyle w:val="FootnoteReference"/>
        </w:rPr>
        <w:footnoteRef/>
      </w:r>
      <w:r>
        <w:t xml:space="preserve"> Jennifer </w:t>
      </w:r>
      <w:proofErr w:type="spellStart"/>
      <w:r>
        <w:t>Corrin</w:t>
      </w:r>
      <w:proofErr w:type="spellEnd"/>
      <w:r>
        <w:t>, 'Customary Land in Solomon Islands: A Victim of Legal Pluralism' in Anthony Angelo and Yves-Louis Sage (</w:t>
      </w:r>
      <w:proofErr w:type="spellStart"/>
      <w:proofErr w:type="gramStart"/>
      <w:r>
        <w:t>ed</w:t>
      </w:r>
      <w:proofErr w:type="spellEnd"/>
      <w:proofErr w:type="gramEnd"/>
      <w:r>
        <w:t xml:space="preserve">) (2011) </w:t>
      </w:r>
      <w:proofErr w:type="spellStart"/>
      <w:r w:rsidRPr="00AE7185">
        <w:rPr>
          <w:i/>
        </w:rPr>
        <w:t>Droit</w:t>
      </w:r>
      <w:proofErr w:type="spellEnd"/>
      <w:r w:rsidRPr="00AE7185">
        <w:rPr>
          <w:i/>
        </w:rPr>
        <w:t xml:space="preserve"> </w:t>
      </w:r>
      <w:proofErr w:type="spellStart"/>
      <w:r w:rsidRPr="00AE7185">
        <w:rPr>
          <w:i/>
        </w:rPr>
        <w:t>Froncier</w:t>
      </w:r>
      <w:proofErr w:type="spellEnd"/>
      <w:r w:rsidRPr="00AE7185">
        <w:rPr>
          <w:i/>
        </w:rPr>
        <w:t xml:space="preserve"> Et </w:t>
      </w:r>
      <w:proofErr w:type="spellStart"/>
      <w:r w:rsidRPr="00AE7185">
        <w:rPr>
          <w:i/>
        </w:rPr>
        <w:t>Gouvernance</w:t>
      </w:r>
      <w:proofErr w:type="spellEnd"/>
      <w:r w:rsidRPr="00AE7185">
        <w:rPr>
          <w:i/>
        </w:rPr>
        <w:t xml:space="preserve"> </w:t>
      </w:r>
      <w:proofErr w:type="spellStart"/>
      <w:r w:rsidRPr="00AE7185">
        <w:rPr>
          <w:i/>
        </w:rPr>
        <w:t>Judiciarire</w:t>
      </w:r>
      <w:proofErr w:type="spellEnd"/>
      <w:r w:rsidRPr="00AE7185">
        <w:rPr>
          <w:i/>
        </w:rPr>
        <w:t xml:space="preserve"> </w:t>
      </w:r>
      <w:proofErr w:type="spellStart"/>
      <w:r w:rsidRPr="00AE7185">
        <w:rPr>
          <w:i/>
        </w:rPr>
        <w:t>Dans</w:t>
      </w:r>
      <w:proofErr w:type="spellEnd"/>
      <w:r w:rsidRPr="00AE7185">
        <w:rPr>
          <w:i/>
        </w:rPr>
        <w:t xml:space="preserve"> Le </w:t>
      </w:r>
      <w:proofErr w:type="spellStart"/>
      <w:r w:rsidRPr="00AE7185">
        <w:rPr>
          <w:i/>
        </w:rPr>
        <w:t>Pacifique</w:t>
      </w:r>
      <w:proofErr w:type="spellEnd"/>
      <w:r w:rsidRPr="00AE7185">
        <w:rPr>
          <w:i/>
        </w:rPr>
        <w:t>: Land Law and Governance in the South Pacific</w:t>
      </w:r>
      <w:r>
        <w:t xml:space="preserve"> xii, 248.</w:t>
      </w:r>
    </w:p>
  </w:footnote>
  <w:footnote w:id="106">
    <w:p w:rsidR="007211D0" w:rsidRDefault="007211D0" w:rsidP="00FC0D13">
      <w:pPr>
        <w:pStyle w:val="FootnoteText"/>
      </w:pPr>
      <w:r>
        <w:rPr>
          <w:rStyle w:val="FootnoteReference"/>
        </w:rPr>
        <w:footnoteRef/>
      </w:r>
      <w:r>
        <w:t xml:space="preserve"> </w:t>
      </w:r>
      <w:r w:rsidRPr="002D70B5">
        <w:t>Australian Agency for International Development</w:t>
      </w:r>
      <w:r>
        <w:t xml:space="preserve"> (</w:t>
      </w:r>
      <w:proofErr w:type="spellStart"/>
      <w:r>
        <w:t>AusAID</w:t>
      </w:r>
      <w:proofErr w:type="spellEnd"/>
      <w:r>
        <w:t xml:space="preserve">) (2008) </w:t>
      </w:r>
      <w:r w:rsidRPr="002D70B5">
        <w:rPr>
          <w:i/>
        </w:rPr>
        <w:t xml:space="preserve">Making Land Work: </w:t>
      </w:r>
      <w:r>
        <w:rPr>
          <w:i/>
        </w:rPr>
        <w:t xml:space="preserve">Volume One - </w:t>
      </w:r>
      <w:r w:rsidRPr="002D70B5">
        <w:rPr>
          <w:i/>
        </w:rPr>
        <w:t>Reconciling Customary Land and Development in the Pacific</w:t>
      </w:r>
      <w:r w:rsidRPr="005C20DC">
        <w:t>.</w:t>
      </w:r>
    </w:p>
  </w:footnote>
  <w:footnote w:id="107">
    <w:p w:rsidR="007211D0" w:rsidRDefault="007211D0" w:rsidP="00FC0D13">
      <w:pPr>
        <w:pStyle w:val="FootnoteText"/>
      </w:pPr>
      <w:r>
        <w:rPr>
          <w:rStyle w:val="FootnoteReference"/>
        </w:rPr>
        <w:footnoteRef/>
      </w:r>
      <w:r>
        <w:t xml:space="preserve"> Fred </w:t>
      </w:r>
      <w:proofErr w:type="spellStart"/>
      <w:r>
        <w:t>Talo</w:t>
      </w:r>
      <w:proofErr w:type="spellEnd"/>
      <w:r>
        <w:t>, '</w:t>
      </w:r>
      <w:r w:rsidRPr="009F70F7">
        <w:t>Solomon Islands National Adaptation Programme of Action (NAPA)</w:t>
      </w:r>
      <w:r>
        <w:t>'</w:t>
      </w:r>
      <w:r w:rsidRPr="009F70F7">
        <w:t xml:space="preserve"> (2008)</w:t>
      </w:r>
      <w:r>
        <w:t xml:space="preserve">, </w:t>
      </w:r>
      <w:r w:rsidRPr="009F70F7">
        <w:rPr>
          <w:i/>
        </w:rPr>
        <w:t>Solomon Islands Ministry of Environment, Conservation and Meteorology</w:t>
      </w:r>
      <w:r>
        <w:t xml:space="preserve"> 39 &lt;</w:t>
      </w:r>
      <w:hyperlink r:id="rId25" w:history="1">
        <w:r w:rsidRPr="00434FE6">
          <w:rPr>
            <w:rStyle w:val="Hyperlink"/>
          </w:rPr>
          <w:t>http://adaptation-undp.org/sites/default/files/downloads/solomon_islands_napa.pdf</w:t>
        </w:r>
      </w:hyperlink>
      <w:r>
        <w:t>&gt;.</w:t>
      </w:r>
    </w:p>
  </w:footnote>
  <w:footnote w:id="108">
    <w:p w:rsidR="007211D0" w:rsidRDefault="007211D0" w:rsidP="00FC0D13">
      <w:pPr>
        <w:pStyle w:val="FootnoteText"/>
      </w:pPr>
      <w:r>
        <w:rPr>
          <w:rStyle w:val="FootnoteReference"/>
        </w:rPr>
        <w:footnoteRef/>
      </w:r>
      <w:r>
        <w:t xml:space="preserve"> Ibid.</w:t>
      </w:r>
    </w:p>
  </w:footnote>
  <w:footnote w:id="109">
    <w:p w:rsidR="007211D0" w:rsidRDefault="007211D0" w:rsidP="00FC0D13">
      <w:pPr>
        <w:pStyle w:val="FootnoteText"/>
      </w:pPr>
      <w:r>
        <w:rPr>
          <w:rStyle w:val="FootnoteReference"/>
        </w:rPr>
        <w:footnoteRef/>
      </w:r>
      <w:r>
        <w:t xml:space="preserve"> Ibid.</w:t>
      </w:r>
    </w:p>
  </w:footnote>
  <w:footnote w:id="110">
    <w:p w:rsidR="007211D0" w:rsidRDefault="007211D0" w:rsidP="00FC0D13">
      <w:pPr>
        <w:pStyle w:val="FootnoteText"/>
      </w:pPr>
      <w:r>
        <w:rPr>
          <w:rStyle w:val="FootnoteReference"/>
        </w:rPr>
        <w:footnoteRef/>
      </w:r>
      <w:r>
        <w:t xml:space="preserve"> </w:t>
      </w:r>
      <w:proofErr w:type="gramStart"/>
      <w:r w:rsidRPr="00737233">
        <w:t>Ibid</w:t>
      </w:r>
      <w:r>
        <w:t>, 40.</w:t>
      </w:r>
      <w:proofErr w:type="gramEnd"/>
    </w:p>
  </w:footnote>
  <w:footnote w:id="111">
    <w:p w:rsidR="007211D0" w:rsidRDefault="007211D0" w:rsidP="00FC0D13">
      <w:pPr>
        <w:pStyle w:val="FootnoteText"/>
      </w:pPr>
      <w:r>
        <w:rPr>
          <w:rStyle w:val="FootnoteReference"/>
        </w:rPr>
        <w:footnoteRef/>
      </w:r>
      <w:r>
        <w:t xml:space="preserve"> Data correct as at the 2009 census. </w:t>
      </w:r>
      <w:proofErr w:type="gramStart"/>
      <w:r w:rsidRPr="007F45FE">
        <w:t xml:space="preserve">Population Statistics for Countries, Administrative Areas, Cities and Agglomerations </w:t>
      </w:r>
      <w:r>
        <w:t>(2015) &lt;</w:t>
      </w:r>
      <w:hyperlink r:id="rId26" w:history="1">
        <w:r w:rsidRPr="000E2F39">
          <w:rPr>
            <w:rStyle w:val="Hyperlink"/>
          </w:rPr>
          <w:t>https://www.citypopulation.de/Solomon.html</w:t>
        </w:r>
      </w:hyperlink>
      <w:r>
        <w:t>&gt;.</w:t>
      </w:r>
      <w:proofErr w:type="gramEnd"/>
    </w:p>
  </w:footnote>
  <w:footnote w:id="112">
    <w:p w:rsidR="007211D0" w:rsidRDefault="007211D0" w:rsidP="00FC0D13">
      <w:pPr>
        <w:pStyle w:val="FootnoteText"/>
      </w:pPr>
      <w:r>
        <w:rPr>
          <w:rStyle w:val="FootnoteReference"/>
        </w:rPr>
        <w:footnoteRef/>
      </w:r>
      <w:r>
        <w:t xml:space="preserve"> </w:t>
      </w:r>
      <w:r w:rsidRPr="00786F36">
        <w:t>United Nation Human Settlements Programme (UN-Habitat)</w:t>
      </w:r>
      <w:r>
        <w:t>, '</w:t>
      </w:r>
      <w:r w:rsidRPr="00012B74">
        <w:t>Solomon Islands: National Urban Profile</w:t>
      </w:r>
      <w:r>
        <w:rPr>
          <w:i/>
        </w:rPr>
        <w:t xml:space="preserve">' </w:t>
      </w:r>
      <w:r>
        <w:t xml:space="preserve">(2012) </w:t>
      </w:r>
      <w:r w:rsidRPr="00012B74">
        <w:rPr>
          <w:i/>
        </w:rPr>
        <w:t>UN-Habita</w:t>
      </w:r>
      <w:r>
        <w:rPr>
          <w:i/>
        </w:rPr>
        <w:t>t Urban Profiles</w:t>
      </w:r>
      <w:r>
        <w:t xml:space="preserve"> &lt;</w:t>
      </w:r>
      <w:hyperlink r:id="rId27" w:history="1">
        <w:r w:rsidRPr="000E2F39">
          <w:rPr>
            <w:rStyle w:val="Hyperlink"/>
          </w:rPr>
          <w:t>http://unhabitat.org/books/solomon-islands-national-urban-profile/</w:t>
        </w:r>
      </w:hyperlink>
      <w:r>
        <w:t xml:space="preserve">&gt;; </w:t>
      </w:r>
      <w:r w:rsidRPr="00786F36">
        <w:t>United Nation Human Settlements Programme (UN-Habitat)</w:t>
      </w:r>
      <w:r>
        <w:t>, '</w:t>
      </w:r>
      <w:r w:rsidRPr="00012B74">
        <w:t xml:space="preserve">Solomon Islands: </w:t>
      </w:r>
      <w:proofErr w:type="spellStart"/>
      <w:r w:rsidRPr="00012B74">
        <w:t>Gizo</w:t>
      </w:r>
      <w:proofErr w:type="spellEnd"/>
      <w:r w:rsidRPr="00012B74">
        <w:t xml:space="preserve"> Urban Profile</w:t>
      </w:r>
      <w:r>
        <w:t>' (2012)</w:t>
      </w:r>
      <w:r w:rsidRPr="00E37513">
        <w:rPr>
          <w:i/>
        </w:rPr>
        <w:t>UN-Habita</w:t>
      </w:r>
      <w:r>
        <w:rPr>
          <w:i/>
        </w:rPr>
        <w:t xml:space="preserve">t Urban Profiles </w:t>
      </w:r>
      <w:hyperlink r:id="rId28" w:history="1">
        <w:r w:rsidRPr="000B17B6">
          <w:rPr>
            <w:rStyle w:val="Hyperlink"/>
          </w:rPr>
          <w:t>&lt;http://unhabitat.org/books/gizo-town-profile-solomon-islands-rapid-urban-sector-profiling-for-sustainability/&gt;</w:t>
        </w:r>
      </w:hyperlink>
      <w:r>
        <w:rPr>
          <w:rStyle w:val="Hyperlink"/>
        </w:rPr>
        <w:t>.</w:t>
      </w:r>
    </w:p>
  </w:footnote>
  <w:footnote w:id="113">
    <w:p w:rsidR="007211D0" w:rsidRDefault="007211D0" w:rsidP="00FC0D13">
      <w:pPr>
        <w:pStyle w:val="FootnoteText"/>
      </w:pPr>
      <w:r>
        <w:rPr>
          <w:rStyle w:val="FootnoteReference"/>
        </w:rPr>
        <w:footnoteRef/>
      </w:r>
      <w:r>
        <w:t xml:space="preserve"> </w:t>
      </w:r>
      <w:r w:rsidRPr="00786F36">
        <w:t>United Nation Human Settlements Programme (UN-Habitat)</w:t>
      </w:r>
      <w:r>
        <w:t xml:space="preserve"> '</w:t>
      </w:r>
      <w:r w:rsidRPr="00012B74">
        <w:t>Solomon Islands: Honiara Urban Profile</w:t>
      </w:r>
      <w:r>
        <w:t>'</w:t>
      </w:r>
      <w:r>
        <w:rPr>
          <w:i/>
        </w:rPr>
        <w:t xml:space="preserve"> </w:t>
      </w:r>
      <w:r>
        <w:t xml:space="preserve">(2012) </w:t>
      </w:r>
      <w:r w:rsidRPr="00E37513">
        <w:rPr>
          <w:i/>
        </w:rPr>
        <w:t>UN-Habita</w:t>
      </w:r>
      <w:r>
        <w:rPr>
          <w:i/>
        </w:rPr>
        <w:t xml:space="preserve">t Urban Profiles </w:t>
      </w:r>
      <w:r>
        <w:t>&lt;</w:t>
      </w:r>
      <w:hyperlink r:id="rId29" w:history="1">
        <w:r w:rsidRPr="000E2F39">
          <w:rPr>
            <w:rStyle w:val="Hyperlink"/>
          </w:rPr>
          <w:t>http://unhabitat.org/books/solomon-islands-honiara-urban-profile/</w:t>
        </w:r>
      </w:hyperlink>
      <w:r>
        <w:t>&gt;.</w:t>
      </w:r>
    </w:p>
  </w:footnote>
  <w:footnote w:id="114">
    <w:p w:rsidR="007211D0" w:rsidRDefault="007211D0" w:rsidP="00FC0D13">
      <w:pPr>
        <w:pStyle w:val="FootnoteText"/>
      </w:pPr>
      <w:r>
        <w:rPr>
          <w:rStyle w:val="FootnoteReference"/>
        </w:rPr>
        <w:footnoteRef/>
      </w:r>
      <w:r>
        <w:t xml:space="preserve"> </w:t>
      </w:r>
      <w:r w:rsidRPr="00786F36">
        <w:t>United Nation Human Settlements Programme (UN-Habitat)</w:t>
      </w:r>
      <w:r>
        <w:t>, '</w:t>
      </w:r>
      <w:r w:rsidRPr="00E37513">
        <w:t xml:space="preserve">Solomon Islands: </w:t>
      </w:r>
      <w:proofErr w:type="spellStart"/>
      <w:r w:rsidRPr="00E37513">
        <w:t>Gizo</w:t>
      </w:r>
      <w:proofErr w:type="spellEnd"/>
      <w:r w:rsidRPr="00E37513">
        <w:t xml:space="preserve"> Urban Profile</w:t>
      </w:r>
      <w:r>
        <w:t xml:space="preserve">' (2012) </w:t>
      </w:r>
      <w:r w:rsidRPr="00E37513">
        <w:rPr>
          <w:i/>
        </w:rPr>
        <w:t>UN-Habita</w:t>
      </w:r>
      <w:r>
        <w:rPr>
          <w:i/>
        </w:rPr>
        <w:t>t Urban Profiles</w:t>
      </w:r>
      <w:r w:rsidRPr="00181C8E">
        <w:t>.</w:t>
      </w:r>
    </w:p>
  </w:footnote>
  <w:footnote w:id="115">
    <w:p w:rsidR="007211D0" w:rsidRDefault="007211D0" w:rsidP="00FC0D13">
      <w:pPr>
        <w:pStyle w:val="FootnoteText"/>
      </w:pPr>
      <w:r>
        <w:rPr>
          <w:rStyle w:val="FootnoteReference"/>
        </w:rPr>
        <w:footnoteRef/>
      </w:r>
      <w:r>
        <w:t xml:space="preserve"> Fred </w:t>
      </w:r>
      <w:proofErr w:type="spellStart"/>
      <w:r>
        <w:t>Talo</w:t>
      </w:r>
      <w:proofErr w:type="spellEnd"/>
      <w:r>
        <w:t>, '</w:t>
      </w:r>
      <w:r w:rsidRPr="00E37513">
        <w:t>Solomon Islands National Adaptation Programme of Action (NAPA)</w:t>
      </w:r>
      <w:r>
        <w:t>'</w:t>
      </w:r>
      <w:r w:rsidRPr="00E37513">
        <w:t xml:space="preserve"> </w:t>
      </w:r>
      <w:r>
        <w:t>(2008)</w:t>
      </w:r>
      <w:proofErr w:type="gramStart"/>
      <w:r>
        <w:t>,</w:t>
      </w:r>
      <w:r w:rsidRPr="00E37513">
        <w:rPr>
          <w:i/>
        </w:rPr>
        <w:t>Solomon</w:t>
      </w:r>
      <w:proofErr w:type="gramEnd"/>
      <w:r w:rsidRPr="00E37513">
        <w:rPr>
          <w:i/>
        </w:rPr>
        <w:t xml:space="preserve"> Islands Ministry of Environment, Conservation and Meteorology</w:t>
      </w:r>
      <w:r w:rsidRPr="00181C8E">
        <w:t>,</w:t>
      </w:r>
      <w:r>
        <w:t xml:space="preserve"> 39.</w:t>
      </w:r>
    </w:p>
  </w:footnote>
  <w:footnote w:id="116">
    <w:p w:rsidR="007211D0" w:rsidRDefault="007211D0" w:rsidP="00FC0D13">
      <w:pPr>
        <w:pStyle w:val="FootnoteText"/>
      </w:pPr>
      <w:r>
        <w:rPr>
          <w:rStyle w:val="FootnoteReference"/>
        </w:rPr>
        <w:footnoteRef/>
      </w:r>
      <w:r>
        <w:t xml:space="preserve"> </w:t>
      </w:r>
      <w:r w:rsidRPr="002D70B5">
        <w:t>Australian Agency for International Development</w:t>
      </w:r>
      <w:r>
        <w:t xml:space="preserve"> (</w:t>
      </w:r>
      <w:proofErr w:type="spellStart"/>
      <w:r>
        <w:t>AusAID</w:t>
      </w:r>
      <w:proofErr w:type="spellEnd"/>
      <w:r>
        <w:t>), '</w:t>
      </w:r>
      <w:r w:rsidRPr="00012B74">
        <w:t>Making Land Work: Volume Two</w:t>
      </w:r>
      <w:r>
        <w:t xml:space="preserve"> </w:t>
      </w:r>
      <w:r w:rsidRPr="00012B74">
        <w:t>- Informal Land Systems within Urban Settlements in Honiara and Port Moresby</w:t>
      </w:r>
      <w:r>
        <w:t>'</w:t>
      </w:r>
      <w:r>
        <w:rPr>
          <w:i/>
        </w:rPr>
        <w:t xml:space="preserve"> </w:t>
      </w:r>
      <w:r>
        <w:t xml:space="preserve">(2008) </w:t>
      </w:r>
      <w:r>
        <w:rPr>
          <w:i/>
        </w:rPr>
        <w:t xml:space="preserve">Department of Foreign Affairs and Trade </w:t>
      </w:r>
      <w:r w:rsidRPr="00012B74">
        <w:t>2</w:t>
      </w:r>
      <w:r>
        <w:t xml:space="preserve"> &lt;</w:t>
      </w:r>
      <w:hyperlink r:id="rId30" w:history="1">
        <w:r w:rsidRPr="000E2F39">
          <w:rPr>
            <w:rStyle w:val="Hyperlink"/>
          </w:rPr>
          <w:t>http://dfat.gov.au/about-us/publications/Documents/MLW_VolumeTwo_CaseStudy_5.pdf</w:t>
        </w:r>
      </w:hyperlink>
      <w:r>
        <w:t xml:space="preserve">&gt;; </w:t>
      </w:r>
      <w:r w:rsidRPr="00786F36">
        <w:t>United Nation Human Settlements Programme (UN-Habitat)</w:t>
      </w:r>
      <w:r>
        <w:t xml:space="preserve"> '</w:t>
      </w:r>
      <w:r w:rsidRPr="00E37513">
        <w:t>Solomon Islands: Honiara Urban Profile</w:t>
      </w:r>
      <w:r>
        <w:t>'</w:t>
      </w:r>
      <w:r>
        <w:rPr>
          <w:i/>
        </w:rPr>
        <w:t xml:space="preserve"> </w:t>
      </w:r>
      <w:r>
        <w:t xml:space="preserve">(2012) </w:t>
      </w:r>
      <w:r w:rsidRPr="00E37513">
        <w:rPr>
          <w:i/>
        </w:rPr>
        <w:t>UN-Habita</w:t>
      </w:r>
      <w:r>
        <w:rPr>
          <w:i/>
        </w:rPr>
        <w:t>t Urban Profiles</w:t>
      </w:r>
      <w:r w:rsidRPr="00181C8E">
        <w:t>.</w:t>
      </w:r>
    </w:p>
  </w:footnote>
  <w:footnote w:id="117">
    <w:p w:rsidR="007211D0" w:rsidRDefault="007211D0" w:rsidP="00FC0D13">
      <w:pPr>
        <w:pStyle w:val="FootnoteText"/>
      </w:pPr>
      <w:r>
        <w:rPr>
          <w:rStyle w:val="FootnoteReference"/>
        </w:rPr>
        <w:footnoteRef/>
      </w:r>
      <w:r>
        <w:t xml:space="preserve"> </w:t>
      </w:r>
      <w:r w:rsidRPr="00737233">
        <w:t>Ibid</w:t>
      </w:r>
      <w:r>
        <w:t>.</w:t>
      </w:r>
    </w:p>
  </w:footnote>
  <w:footnote w:id="118">
    <w:p w:rsidR="007211D0" w:rsidRDefault="007211D0" w:rsidP="00FC0D13">
      <w:pPr>
        <w:pStyle w:val="FootnoteText"/>
      </w:pPr>
      <w:r>
        <w:rPr>
          <w:rStyle w:val="FootnoteReference"/>
        </w:rPr>
        <w:footnoteRef/>
      </w:r>
      <w:r>
        <w:t xml:space="preserve"> </w:t>
      </w:r>
      <w:r w:rsidRPr="00786F36">
        <w:t>United Nation Human Settlements Programme (UN-Habitat)</w:t>
      </w:r>
      <w:r>
        <w:t xml:space="preserve"> '</w:t>
      </w:r>
      <w:r w:rsidRPr="00E37513">
        <w:t>Solomon Islands: Honiara Urban Profile</w:t>
      </w:r>
      <w:r>
        <w:t>'</w:t>
      </w:r>
      <w:r>
        <w:rPr>
          <w:i/>
        </w:rPr>
        <w:t xml:space="preserve"> </w:t>
      </w:r>
      <w:r>
        <w:t xml:space="preserve">(2012) </w:t>
      </w:r>
      <w:r w:rsidRPr="00E37513">
        <w:rPr>
          <w:i/>
        </w:rPr>
        <w:t>UN-Habita</w:t>
      </w:r>
      <w:r>
        <w:rPr>
          <w:i/>
        </w:rPr>
        <w:t>t Urban Profiles</w:t>
      </w:r>
      <w:r>
        <w:t>, 15.</w:t>
      </w:r>
    </w:p>
  </w:footnote>
  <w:footnote w:id="119">
    <w:p w:rsidR="007211D0" w:rsidRDefault="007211D0" w:rsidP="00FC0D13">
      <w:pPr>
        <w:pStyle w:val="FootnoteText"/>
      </w:pPr>
      <w:r>
        <w:rPr>
          <w:rStyle w:val="FootnoteReference"/>
        </w:rPr>
        <w:footnoteRef/>
      </w:r>
      <w:r>
        <w:t xml:space="preserve"> </w:t>
      </w:r>
      <w:r w:rsidRPr="0091182D">
        <w:t xml:space="preserve">Meg Keen and Alan McNeil, 'After the Floods: Urban Displacement, Lessons from Solomon Islands' (2016) 13 </w:t>
      </w:r>
      <w:r w:rsidRPr="0091182D">
        <w:rPr>
          <w:i/>
        </w:rPr>
        <w:t>State, Society &amp; Governance in Melanesia</w:t>
      </w:r>
      <w:r>
        <w:t xml:space="preserve"> 1.</w:t>
      </w:r>
    </w:p>
  </w:footnote>
  <w:footnote w:id="120">
    <w:p w:rsidR="007211D0" w:rsidRDefault="007211D0">
      <w:pPr>
        <w:pStyle w:val="FootnoteText"/>
      </w:pPr>
      <w:r>
        <w:rPr>
          <w:rStyle w:val="FootnoteReference"/>
        </w:rPr>
        <w:footnoteRef/>
      </w:r>
      <w:r>
        <w:t xml:space="preserve"> </w:t>
      </w:r>
      <w:r>
        <w:rPr>
          <w:i/>
        </w:rPr>
        <w:t xml:space="preserve">Constitution of </w:t>
      </w:r>
      <w:r w:rsidRPr="009D64BA">
        <w:rPr>
          <w:i/>
        </w:rPr>
        <w:t>Solomon Islands</w:t>
      </w:r>
      <w:r w:rsidRPr="00FE49AA">
        <w:rPr>
          <w:i/>
        </w:rPr>
        <w:t xml:space="preserve"> 1978</w:t>
      </w:r>
      <w:r>
        <w:t xml:space="preserve">, s 3; United States Department of State, </w:t>
      </w:r>
      <w:r w:rsidRPr="00C8116C">
        <w:rPr>
          <w:i/>
        </w:rPr>
        <w:t>2010 Country Reports on Human Rights</w:t>
      </w:r>
      <w:r>
        <w:t xml:space="preserve"> Practices (8 April 2011) &lt;</w:t>
      </w:r>
      <w:hyperlink r:id="rId31" w:history="1">
        <w:r w:rsidRPr="000D4B10">
          <w:rPr>
            <w:rStyle w:val="Hyperlink"/>
          </w:rPr>
          <w:t>https://www.state.gov/j/drl/rls/hrrpt/2010/eap/154402.htm</w:t>
        </w:r>
      </w:hyperlink>
      <w:r>
        <w:t>&gt;.</w:t>
      </w:r>
    </w:p>
  </w:footnote>
  <w:footnote w:id="121">
    <w:p w:rsidR="007211D0" w:rsidRDefault="007211D0">
      <w:pPr>
        <w:pStyle w:val="FootnoteText"/>
      </w:pPr>
      <w:r>
        <w:rPr>
          <w:rStyle w:val="FootnoteReference"/>
        </w:rPr>
        <w:footnoteRef/>
      </w:r>
      <w:r>
        <w:t xml:space="preserve"> </w:t>
      </w:r>
      <w:proofErr w:type="gramStart"/>
      <w:r>
        <w:t xml:space="preserve">Jennifer </w:t>
      </w:r>
      <w:proofErr w:type="spellStart"/>
      <w:r>
        <w:t>Corrin</w:t>
      </w:r>
      <w:proofErr w:type="spellEnd"/>
      <w:r>
        <w:t xml:space="preserve"> Care, Customary Law and Women's rights in Solomon Islands, (2000) 51 </w:t>
      </w:r>
      <w:r w:rsidRPr="006B78E6">
        <w:rPr>
          <w:i/>
        </w:rPr>
        <w:t>Development Bulletin</w:t>
      </w:r>
      <w:r>
        <w:t xml:space="preserve"> 20.</w:t>
      </w:r>
      <w:proofErr w:type="gramEnd"/>
    </w:p>
  </w:footnote>
  <w:footnote w:id="122">
    <w:p w:rsidR="007211D0" w:rsidRDefault="007211D0">
      <w:pPr>
        <w:pStyle w:val="FootnoteText"/>
      </w:pPr>
      <w:r>
        <w:rPr>
          <w:rStyle w:val="FootnoteReference"/>
        </w:rPr>
        <w:footnoteRef/>
      </w:r>
      <w:r>
        <w:t xml:space="preserve"> </w:t>
      </w:r>
      <w:proofErr w:type="gramStart"/>
      <w:r>
        <w:t xml:space="preserve">International Finance Corporation, </w:t>
      </w:r>
      <w:r w:rsidRPr="00CA5F46">
        <w:rPr>
          <w:i/>
        </w:rPr>
        <w:t>Solomon Islands Gender and Investment Climate Reform Assessment</w:t>
      </w:r>
      <w:r>
        <w:t xml:space="preserve"> (January 2010) &lt;</w:t>
      </w:r>
      <w:hyperlink r:id="rId32" w:history="1">
        <w:r w:rsidRPr="002D1FD9">
          <w:rPr>
            <w:rStyle w:val="Hyperlink"/>
          </w:rPr>
          <w:t>https://www.ifc.org/wps/wcm/connect/0465238049fb0beca26eebd1a5d13d27/IFC_Gender+and+Inv+Climate+Reform+Assessments+_SolomonIslands.pdf?MOD=AJPERES</w:t>
        </w:r>
      </w:hyperlink>
      <w:r>
        <w:t>&gt;, 56.</w:t>
      </w:r>
      <w:proofErr w:type="gramEnd"/>
    </w:p>
  </w:footnote>
  <w:footnote w:id="123">
    <w:p w:rsidR="007211D0" w:rsidRDefault="007211D0" w:rsidP="00FC0D13">
      <w:pPr>
        <w:pStyle w:val="FootnoteText"/>
      </w:pPr>
      <w:r>
        <w:rPr>
          <w:rStyle w:val="FootnoteReference"/>
        </w:rPr>
        <w:footnoteRef/>
      </w:r>
      <w:r>
        <w:t xml:space="preserve"> </w:t>
      </w:r>
      <w:proofErr w:type="gramStart"/>
      <w:r>
        <w:t>Ibid, xi.</w:t>
      </w:r>
      <w:proofErr w:type="gramEnd"/>
    </w:p>
  </w:footnote>
  <w:footnote w:id="124">
    <w:p w:rsidR="007211D0" w:rsidRPr="00102645" w:rsidRDefault="007211D0" w:rsidP="00FC0D13">
      <w:pPr>
        <w:pStyle w:val="FootnoteText"/>
      </w:pPr>
      <w:r>
        <w:rPr>
          <w:rStyle w:val="FootnoteReference"/>
        </w:rPr>
        <w:footnoteRef/>
      </w:r>
      <w:r>
        <w:t xml:space="preserve"> Douglas </w:t>
      </w:r>
      <w:proofErr w:type="spellStart"/>
      <w:r>
        <w:t>Kimi</w:t>
      </w:r>
      <w:proofErr w:type="spellEnd"/>
      <w:r>
        <w:t xml:space="preserve"> (Government Statistician), '</w:t>
      </w:r>
      <w:r w:rsidRPr="00012B74">
        <w:t>Report on Gender</w:t>
      </w:r>
      <w:r>
        <w:t>' (November 2014)</w:t>
      </w:r>
      <w:r>
        <w:rPr>
          <w:i/>
        </w:rPr>
        <w:t xml:space="preserve"> </w:t>
      </w:r>
      <w:r w:rsidRPr="00012B74">
        <w:rPr>
          <w:i/>
        </w:rPr>
        <w:t>Solomon Islands National Statistical Office</w:t>
      </w:r>
      <w:r>
        <w:t xml:space="preserve"> &lt;</w:t>
      </w:r>
      <w:r w:rsidRPr="006B0FEE">
        <w:t>http://www.statistics.gov.sb/sinso-documents?view=download&amp;format=raw&amp;fileId=527</w:t>
      </w:r>
      <w:r>
        <w:t xml:space="preserve">&gt;. </w:t>
      </w:r>
    </w:p>
  </w:footnote>
  <w:footnote w:id="125">
    <w:p w:rsidR="007211D0" w:rsidRDefault="007211D0" w:rsidP="00FC0D13">
      <w:pPr>
        <w:pStyle w:val="FootnoteText"/>
      </w:pPr>
      <w:r>
        <w:rPr>
          <w:rStyle w:val="FootnoteReference"/>
        </w:rPr>
        <w:footnoteRef/>
      </w:r>
      <w:r>
        <w:t xml:space="preserve"> </w:t>
      </w:r>
      <w:proofErr w:type="gramStart"/>
      <w:r w:rsidRPr="0091182D">
        <w:t xml:space="preserve">Rebecca Monson, 'Women, State Law and Land in Peri-Urban Settlements on Guadalcanal, Solomon Islands' (2010) 4(3) </w:t>
      </w:r>
      <w:r w:rsidRPr="0091182D">
        <w:rPr>
          <w:i/>
        </w:rPr>
        <w:t>Justice for the Poor</w:t>
      </w:r>
      <w:r w:rsidRPr="0091182D">
        <w:t xml:space="preserve"> – </w:t>
      </w:r>
      <w:r w:rsidRPr="0091182D">
        <w:rPr>
          <w:i/>
        </w:rPr>
        <w:t>The World Bank</w:t>
      </w:r>
      <w:r>
        <w:t xml:space="preserve"> 1.</w:t>
      </w:r>
      <w:proofErr w:type="gramEnd"/>
    </w:p>
  </w:footnote>
  <w:footnote w:id="126">
    <w:p w:rsidR="007211D0" w:rsidRDefault="007211D0" w:rsidP="00FC0D13">
      <w:pPr>
        <w:pStyle w:val="FootnoteText"/>
      </w:pPr>
      <w:r>
        <w:rPr>
          <w:rStyle w:val="FootnoteReference"/>
        </w:rPr>
        <w:footnoteRef/>
      </w:r>
      <w:r>
        <w:t xml:space="preserve"> Ibid.</w:t>
      </w:r>
    </w:p>
  </w:footnote>
  <w:footnote w:id="127">
    <w:p w:rsidR="007211D0" w:rsidRDefault="007211D0" w:rsidP="00FC0D13">
      <w:pPr>
        <w:pStyle w:val="FootnoteText"/>
      </w:pPr>
      <w:r>
        <w:rPr>
          <w:rStyle w:val="FootnoteReference"/>
        </w:rPr>
        <w:footnoteRef/>
      </w:r>
      <w:r>
        <w:t xml:space="preserve"> Ibid.</w:t>
      </w:r>
    </w:p>
  </w:footnote>
  <w:footnote w:id="128">
    <w:p w:rsidR="007211D0" w:rsidRDefault="007211D0" w:rsidP="00FC0D13">
      <w:pPr>
        <w:pStyle w:val="FootnoteText"/>
      </w:pPr>
      <w:r>
        <w:rPr>
          <w:rStyle w:val="FootnoteReference"/>
        </w:rPr>
        <w:footnoteRef/>
      </w:r>
      <w:r>
        <w:t xml:space="preserve"> Ibid.</w:t>
      </w:r>
    </w:p>
  </w:footnote>
  <w:footnote w:id="129">
    <w:p w:rsidR="007211D0" w:rsidRDefault="007211D0" w:rsidP="00FC0D13">
      <w:pPr>
        <w:pStyle w:val="FootnoteText"/>
      </w:pPr>
      <w:r>
        <w:rPr>
          <w:rStyle w:val="FootnoteReference"/>
        </w:rPr>
        <w:footnoteRef/>
      </w:r>
      <w:r>
        <w:t xml:space="preserve"> Ibid.</w:t>
      </w:r>
    </w:p>
  </w:footnote>
  <w:footnote w:id="130">
    <w:p w:rsidR="007211D0" w:rsidRDefault="007211D0" w:rsidP="00FC0D13">
      <w:pPr>
        <w:pStyle w:val="FootnoteText"/>
      </w:pPr>
      <w:r>
        <w:rPr>
          <w:rStyle w:val="FootnoteReference"/>
        </w:rPr>
        <w:footnoteRef/>
      </w:r>
      <w:r>
        <w:t xml:space="preserve"> Ibid.</w:t>
      </w:r>
    </w:p>
  </w:footnote>
  <w:footnote w:id="131">
    <w:p w:rsidR="007211D0" w:rsidRDefault="007211D0" w:rsidP="00FC0D13">
      <w:pPr>
        <w:pStyle w:val="FootnoteText"/>
      </w:pPr>
      <w:r>
        <w:rPr>
          <w:rStyle w:val="FootnoteReference"/>
        </w:rPr>
        <w:footnoteRef/>
      </w:r>
      <w:r>
        <w:t xml:space="preserve"> </w:t>
      </w:r>
      <w:proofErr w:type="gramStart"/>
      <w:r w:rsidRPr="0091182D">
        <w:t xml:space="preserve">Joseph D </w:t>
      </w:r>
      <w:proofErr w:type="spellStart"/>
      <w:r w:rsidRPr="0091182D">
        <w:t>Foukona</w:t>
      </w:r>
      <w:proofErr w:type="spellEnd"/>
      <w:r w:rsidRPr="0091182D">
        <w:t xml:space="preserve">, 'Legal Aspects of Customary Land Administration in Solomon Islands' (2007) 11(1) </w:t>
      </w:r>
      <w:r w:rsidRPr="0091182D">
        <w:rPr>
          <w:i/>
        </w:rPr>
        <w:t>Journal of South Pacific Law</w:t>
      </w:r>
      <w:r>
        <w:t xml:space="preserve"> 64 &lt;</w:t>
      </w:r>
      <w:hyperlink r:id="rId33" w:history="1">
        <w:r w:rsidRPr="000E2F39">
          <w:rPr>
            <w:rStyle w:val="Hyperlink"/>
          </w:rPr>
          <w:t>http://www.paclii.org/journals/fJSPL/vol11no1/pdf/Foukona.pdf</w:t>
        </w:r>
      </w:hyperlink>
      <w:r>
        <w:t>&gt;.</w:t>
      </w:r>
      <w:proofErr w:type="gramEnd"/>
    </w:p>
  </w:footnote>
  <w:footnote w:id="132">
    <w:p w:rsidR="007211D0" w:rsidRDefault="007211D0">
      <w:pPr>
        <w:pStyle w:val="FootnoteText"/>
      </w:pPr>
      <w:r>
        <w:rPr>
          <w:rStyle w:val="FootnoteReference"/>
        </w:rPr>
        <w:footnoteRef/>
      </w:r>
      <w:r>
        <w:t xml:space="preserve"> </w:t>
      </w:r>
      <w:proofErr w:type="gramStart"/>
      <w:r>
        <w:t xml:space="preserve">Central Intelligence Agency, </w:t>
      </w:r>
      <w:r w:rsidRPr="00576F12">
        <w:rPr>
          <w:i/>
        </w:rPr>
        <w:t xml:space="preserve">CIA World </w:t>
      </w:r>
      <w:proofErr w:type="spellStart"/>
      <w:r w:rsidRPr="00576F12">
        <w:rPr>
          <w:i/>
        </w:rPr>
        <w:t>Factbook</w:t>
      </w:r>
      <w:proofErr w:type="spellEnd"/>
      <w:r w:rsidRPr="00576F12">
        <w:rPr>
          <w:i/>
        </w:rPr>
        <w:t xml:space="preserve"> – Solomon Islands</w:t>
      </w:r>
      <w:r>
        <w:rPr>
          <w:i/>
        </w:rPr>
        <w:t xml:space="preserve"> </w:t>
      </w:r>
      <w:r w:rsidRPr="00576F12">
        <w:t>(</w:t>
      </w:r>
      <w:r>
        <w:t>2009) &lt;</w:t>
      </w:r>
      <w:hyperlink r:id="rId34" w:history="1">
        <w:r w:rsidRPr="00576F12">
          <w:rPr>
            <w:rStyle w:val="Hyperlink"/>
          </w:rPr>
          <w:t>https://www.cia.gov/library/publications/the-world-factbook/geos/bp.html</w:t>
        </w:r>
      </w:hyperlink>
      <w:r>
        <w:t>&gt;.</w:t>
      </w:r>
      <w:proofErr w:type="gramEnd"/>
    </w:p>
  </w:footnote>
  <w:footnote w:id="133">
    <w:p w:rsidR="007211D0" w:rsidRDefault="007211D0" w:rsidP="00FC0D13">
      <w:pPr>
        <w:pStyle w:val="FootnoteText"/>
      </w:pPr>
      <w:r>
        <w:rPr>
          <w:rStyle w:val="FootnoteReference"/>
        </w:rPr>
        <w:footnoteRef/>
      </w:r>
      <w:r>
        <w:t xml:space="preserve"> </w:t>
      </w:r>
      <w:r w:rsidRPr="0091182D">
        <w:t xml:space="preserve">Meg Keen and Alan McNeil, 'After the Floods: Urban Displacement, Lessons from Solomon Islands' (2016) 13 </w:t>
      </w:r>
      <w:r w:rsidRPr="0091182D">
        <w:rPr>
          <w:i/>
        </w:rPr>
        <w:t>State, Society &amp; Governance in Melanesia</w:t>
      </w:r>
      <w:r>
        <w:t xml:space="preserve"> 1 &lt;</w:t>
      </w:r>
      <w:hyperlink r:id="rId35" w:history="1">
        <w:r w:rsidRPr="00434FE6">
          <w:rPr>
            <w:rStyle w:val="Hyperlink"/>
          </w:rPr>
          <w:t>http://ssgm.bellschool.anu.edu.au/sites/default/files/publications/attachments/2016-05/ib-2016-13-keenmcneil_printweb_0.pdf</w:t>
        </w:r>
      </w:hyperlink>
      <w:r>
        <w:t>&gt;.</w:t>
      </w:r>
    </w:p>
  </w:footnote>
  <w:footnote w:id="134">
    <w:p w:rsidR="007211D0" w:rsidRDefault="007211D0" w:rsidP="00FC0D13">
      <w:pPr>
        <w:pStyle w:val="FootnoteText"/>
      </w:pPr>
      <w:r>
        <w:rPr>
          <w:rStyle w:val="FootnoteReference"/>
        </w:rPr>
        <w:footnoteRef/>
      </w:r>
      <w:r>
        <w:t xml:space="preserve"> Ibid.</w:t>
      </w:r>
    </w:p>
  </w:footnote>
  <w:footnote w:id="135">
    <w:p w:rsidR="007211D0" w:rsidRDefault="007211D0" w:rsidP="00FC0D13">
      <w:pPr>
        <w:pStyle w:val="FootnoteText"/>
      </w:pPr>
      <w:r>
        <w:rPr>
          <w:rStyle w:val="FootnoteReference"/>
        </w:rPr>
        <w:footnoteRef/>
      </w:r>
      <w:r>
        <w:t xml:space="preserve"> Douglas </w:t>
      </w:r>
      <w:proofErr w:type="spellStart"/>
      <w:r>
        <w:t>Kimi</w:t>
      </w:r>
      <w:proofErr w:type="spellEnd"/>
      <w:r>
        <w:t xml:space="preserve"> (Government Statistician), '</w:t>
      </w:r>
      <w:r w:rsidRPr="006B0FEE">
        <w:t>2009 Population &amp; Housing Census: Report on Migration and Urbanisation</w:t>
      </w:r>
      <w:r w:rsidRPr="00F75C27">
        <w:t>'</w:t>
      </w:r>
      <w:r>
        <w:t xml:space="preserve"> (2009)</w:t>
      </w:r>
      <w:r>
        <w:rPr>
          <w:i/>
        </w:rPr>
        <w:t xml:space="preserve"> Solomon Islands National Statistical Office</w:t>
      </w:r>
      <w:r>
        <w:t xml:space="preserve"> &lt;</w:t>
      </w:r>
      <w:hyperlink r:id="rId36" w:history="1">
        <w:r w:rsidRPr="00E21078">
          <w:rPr>
            <w:rStyle w:val="Hyperlink"/>
          </w:rPr>
          <w:t>http://www.mof.gov.sb/Libraries/Statistics/2013_12_-_2009_Census_Report_on_Migration_and_Urbanisation.sflb.ashx</w:t>
        </w:r>
      </w:hyperlink>
      <w:r>
        <w:t>&gt;.</w:t>
      </w:r>
    </w:p>
  </w:footnote>
  <w:footnote w:id="136">
    <w:p w:rsidR="007211D0" w:rsidRDefault="007211D0" w:rsidP="00FC0D13">
      <w:pPr>
        <w:pStyle w:val="FootnoteText"/>
      </w:pPr>
      <w:r>
        <w:rPr>
          <w:rStyle w:val="FootnoteReference"/>
        </w:rPr>
        <w:footnoteRef/>
      </w:r>
      <w:r>
        <w:t xml:space="preserve"> </w:t>
      </w:r>
      <w:r w:rsidRPr="0091182D">
        <w:t xml:space="preserve">Meg Keen and Alan McNeil, 'After the Floods: Urban Displacement, Lessons from Solomon Islands' (2016) 13 </w:t>
      </w:r>
      <w:r w:rsidRPr="0091182D">
        <w:rPr>
          <w:i/>
        </w:rPr>
        <w:t>State, Society &amp; Governance in Melanesia</w:t>
      </w:r>
      <w:r>
        <w:t xml:space="preserve"> 1.</w:t>
      </w:r>
    </w:p>
  </w:footnote>
  <w:footnote w:id="137">
    <w:p w:rsidR="007211D0" w:rsidRDefault="007211D0" w:rsidP="00FC0D13">
      <w:pPr>
        <w:pStyle w:val="FootnoteText"/>
      </w:pPr>
      <w:r>
        <w:rPr>
          <w:rStyle w:val="FootnoteReference"/>
        </w:rPr>
        <w:footnoteRef/>
      </w:r>
      <w:r>
        <w:t xml:space="preserve"> Ibid.</w:t>
      </w:r>
    </w:p>
  </w:footnote>
  <w:footnote w:id="138">
    <w:p w:rsidR="007211D0" w:rsidRDefault="007211D0" w:rsidP="00FC0D13">
      <w:pPr>
        <w:pStyle w:val="FootnoteText"/>
      </w:pPr>
      <w:r>
        <w:rPr>
          <w:rStyle w:val="FootnoteReference"/>
        </w:rPr>
        <w:footnoteRef/>
      </w:r>
      <w:r>
        <w:t xml:space="preserve"> </w:t>
      </w:r>
      <w:r w:rsidRPr="000635AA">
        <w:rPr>
          <w:i/>
        </w:rPr>
        <w:t>Land and Titles Act</w:t>
      </w:r>
      <w:r>
        <w:t xml:space="preserve"> s 224(1</w:t>
      </w:r>
      <w:proofErr w:type="gramStart"/>
      <w:r>
        <w:t>)(</w:t>
      </w:r>
      <w:proofErr w:type="gramEnd"/>
      <w:r>
        <w:t xml:space="preserve">b). 'Local authority' is defined by the </w:t>
      </w:r>
      <w:r w:rsidRPr="000635AA">
        <w:rPr>
          <w:i/>
        </w:rPr>
        <w:t xml:space="preserve">Interpretation and General Provisions Act </w:t>
      </w:r>
      <w:r>
        <w:t>as 'a town council or a provincial assembly' &lt;</w:t>
      </w:r>
      <w:hyperlink r:id="rId37" w:history="1">
        <w:r w:rsidRPr="000E2F39">
          <w:rPr>
            <w:rStyle w:val="Hyperlink"/>
          </w:rPr>
          <w:t>http://www.paclii.org/sb/legis/consol_act/lata143/</w:t>
        </w:r>
      </w:hyperlink>
      <w:r>
        <w:t>&gt;.</w:t>
      </w:r>
    </w:p>
  </w:footnote>
  <w:footnote w:id="139">
    <w:p w:rsidR="007211D0" w:rsidRDefault="007211D0" w:rsidP="00FC0D13">
      <w:pPr>
        <w:pStyle w:val="FootnoteText"/>
      </w:pPr>
      <w:r>
        <w:rPr>
          <w:rStyle w:val="FootnoteReference"/>
        </w:rPr>
        <w:footnoteRef/>
      </w:r>
      <w:r>
        <w:t xml:space="preserve"> </w:t>
      </w:r>
      <w:r w:rsidRPr="000635AA">
        <w:rPr>
          <w:i/>
        </w:rPr>
        <w:t>Land and Titles Act</w:t>
      </w:r>
      <w:r>
        <w:t xml:space="preserve"> s 224(2).</w:t>
      </w:r>
    </w:p>
  </w:footnote>
  <w:footnote w:id="140">
    <w:p w:rsidR="007211D0" w:rsidRPr="00DC0861" w:rsidRDefault="007211D0">
      <w:pPr>
        <w:pStyle w:val="FootnoteText"/>
        <w:rPr>
          <w:lang w:val="en-US"/>
        </w:rPr>
      </w:pPr>
      <w:r>
        <w:rPr>
          <w:rStyle w:val="FootnoteReference"/>
        </w:rPr>
        <w:footnoteRef/>
      </w:r>
      <w:r w:rsidRPr="00DC0861">
        <w:rPr>
          <w:i/>
        </w:rPr>
        <w:t xml:space="preserve"> </w:t>
      </w:r>
      <w:proofErr w:type="gramStart"/>
      <w:r>
        <w:rPr>
          <w:i/>
        </w:rPr>
        <w:t xml:space="preserve">Constitution of </w:t>
      </w:r>
      <w:r w:rsidRPr="009D64BA">
        <w:rPr>
          <w:i/>
        </w:rPr>
        <w:t>Solomon Islands</w:t>
      </w:r>
      <w:r w:rsidRPr="00FE49AA">
        <w:rPr>
          <w:i/>
        </w:rPr>
        <w:t xml:space="preserve"> 1978</w:t>
      </w:r>
      <w:r w:rsidRPr="00DC0861">
        <w:rPr>
          <w:i/>
          <w:lang w:val="en-US"/>
        </w:rPr>
        <w:t xml:space="preserve"> </w:t>
      </w:r>
      <w:r>
        <w:rPr>
          <w:lang w:val="en-US"/>
        </w:rPr>
        <w:t>s 8.</w:t>
      </w:r>
      <w:proofErr w:type="gramEnd"/>
    </w:p>
  </w:footnote>
  <w:footnote w:id="141">
    <w:p w:rsidR="007211D0" w:rsidRPr="007C2BAF" w:rsidRDefault="007211D0" w:rsidP="00FC0D13">
      <w:pPr>
        <w:pStyle w:val="FootnoteText"/>
      </w:pPr>
      <w:r>
        <w:rPr>
          <w:rStyle w:val="FootnoteReference"/>
        </w:rPr>
        <w:footnoteRef/>
      </w:r>
      <w:r>
        <w:t xml:space="preserve"> </w:t>
      </w:r>
      <w:proofErr w:type="spellStart"/>
      <w:proofErr w:type="gramStart"/>
      <w:r>
        <w:t>Kirsty</w:t>
      </w:r>
      <w:proofErr w:type="spellEnd"/>
      <w:r>
        <w:t xml:space="preserve"> Ruddock, 'Marginalisation of some Solomon Islanders by the Australian Intervention' (2006) 12(1) </w:t>
      </w:r>
      <w:r>
        <w:rPr>
          <w:i/>
        </w:rPr>
        <w:t xml:space="preserve">Marginalisation of some Solomon Islanders </w:t>
      </w:r>
      <w:r>
        <w:t>141, 142 &lt;</w:t>
      </w:r>
      <w:hyperlink r:id="rId38" w:history="1">
        <w:r w:rsidRPr="00434FE6">
          <w:rPr>
            <w:rStyle w:val="Hyperlink"/>
          </w:rPr>
          <w:t>http://www.austlii.edu.au/au/journals/AUJlHRights/2006/7.pdf</w:t>
        </w:r>
      </w:hyperlink>
      <w:r>
        <w:t>&gt;.</w:t>
      </w:r>
      <w:proofErr w:type="gramEnd"/>
      <w:r>
        <w:t xml:space="preserve"> </w:t>
      </w:r>
    </w:p>
  </w:footnote>
  <w:footnote w:id="142">
    <w:p w:rsidR="007211D0" w:rsidRDefault="007211D0" w:rsidP="00FC0D13">
      <w:pPr>
        <w:pStyle w:val="FootnoteText"/>
      </w:pPr>
      <w:r>
        <w:rPr>
          <w:rStyle w:val="FootnoteReference"/>
        </w:rPr>
        <w:footnoteRef/>
      </w:r>
      <w:r>
        <w:t xml:space="preserve"> </w:t>
      </w:r>
      <w:r w:rsidRPr="0091182D">
        <w:t xml:space="preserve">Meg Keen and Alan McNeil, 'After the Floods: Urban Displacement, Lessons from Solomon Islands' (2016) 13 </w:t>
      </w:r>
      <w:r w:rsidRPr="0091182D">
        <w:rPr>
          <w:i/>
        </w:rPr>
        <w:t>State, Society &amp; Governance in Melanesia</w:t>
      </w:r>
      <w:r>
        <w:t xml:space="preserve"> 1.</w:t>
      </w:r>
    </w:p>
  </w:footnote>
  <w:footnote w:id="143">
    <w:p w:rsidR="007211D0" w:rsidRDefault="007211D0" w:rsidP="00FC0D13">
      <w:pPr>
        <w:pStyle w:val="FootnoteText"/>
      </w:pPr>
      <w:r>
        <w:rPr>
          <w:rStyle w:val="FootnoteReference"/>
        </w:rPr>
        <w:footnoteRef/>
      </w:r>
      <w:r>
        <w:t xml:space="preserve"> </w:t>
      </w:r>
      <w:r w:rsidRPr="00B4583A">
        <w:t>International Covenant on Economic, Social and Cultural Rights</w:t>
      </w:r>
      <w:r>
        <w:t>, art 11(1).</w:t>
      </w:r>
    </w:p>
  </w:footnote>
  <w:footnote w:id="144">
    <w:p w:rsidR="007211D0" w:rsidRDefault="007211D0" w:rsidP="00FC0D13">
      <w:pPr>
        <w:pStyle w:val="FootnoteText"/>
      </w:pPr>
      <w:r>
        <w:rPr>
          <w:rStyle w:val="FootnoteReference"/>
        </w:rPr>
        <w:footnoteRef/>
      </w:r>
      <w:r>
        <w:t xml:space="preserve"> </w:t>
      </w:r>
      <w:r w:rsidRPr="00B64675">
        <w:rPr>
          <w:i/>
        </w:rPr>
        <w:t>Land and Titles Act</w:t>
      </w:r>
      <w:r>
        <w:rPr>
          <w:i/>
        </w:rPr>
        <w:t xml:space="preserve"> </w:t>
      </w:r>
      <w:r w:rsidRPr="00B64675">
        <w:t>s 71</w:t>
      </w:r>
      <w:r>
        <w:t>.</w:t>
      </w:r>
    </w:p>
  </w:footnote>
  <w:footnote w:id="145">
    <w:p w:rsidR="007211D0" w:rsidRDefault="007211D0" w:rsidP="00FC0D13">
      <w:pPr>
        <w:pStyle w:val="FootnoteText"/>
      </w:pPr>
      <w:r>
        <w:rPr>
          <w:rStyle w:val="FootnoteReference"/>
        </w:rPr>
        <w:footnoteRef/>
      </w:r>
      <w:r>
        <w:t xml:space="preserve"> </w:t>
      </w:r>
      <w:r w:rsidRPr="00B64675">
        <w:rPr>
          <w:i/>
        </w:rPr>
        <w:t>Land and Titles Act</w:t>
      </w:r>
      <w:r w:rsidRPr="00737233">
        <w:t xml:space="preserve"> </w:t>
      </w:r>
      <w:r w:rsidRPr="00B64675">
        <w:t>s 7</w:t>
      </w:r>
      <w:r>
        <w:t>6.</w:t>
      </w:r>
    </w:p>
  </w:footnote>
  <w:footnote w:id="146">
    <w:p w:rsidR="007211D0" w:rsidRPr="00247257" w:rsidRDefault="007211D0">
      <w:pPr>
        <w:pStyle w:val="FootnoteText"/>
        <w:rPr>
          <w:lang w:val="en-US"/>
        </w:rPr>
      </w:pPr>
      <w:r>
        <w:rPr>
          <w:rStyle w:val="FootnoteReference"/>
        </w:rPr>
        <w:footnoteRef/>
      </w:r>
      <w:r>
        <w:t xml:space="preserve"> </w:t>
      </w:r>
      <w:proofErr w:type="gramStart"/>
      <w:r w:rsidRPr="00985F39">
        <w:rPr>
          <w:i/>
          <w:lang w:val="en-US"/>
        </w:rPr>
        <w:t>National Disaster Council Act</w:t>
      </w:r>
      <w:r>
        <w:rPr>
          <w:lang w:val="en-US"/>
        </w:rPr>
        <w:t xml:space="preserve"> </w:t>
      </w:r>
      <w:proofErr w:type="spellStart"/>
      <w:r>
        <w:rPr>
          <w:lang w:val="en-US"/>
        </w:rPr>
        <w:t>ss</w:t>
      </w:r>
      <w:proofErr w:type="spellEnd"/>
      <w:r>
        <w:rPr>
          <w:lang w:val="en-US"/>
        </w:rPr>
        <w:t xml:space="preserve"> 14, 22.</w:t>
      </w:r>
      <w:proofErr w:type="gramEnd"/>
    </w:p>
  </w:footnote>
  <w:footnote w:id="147">
    <w:p w:rsidR="007211D0" w:rsidRPr="00061CF8" w:rsidRDefault="007211D0">
      <w:pPr>
        <w:pStyle w:val="FootnoteText"/>
        <w:rPr>
          <w:lang w:val="en-US"/>
        </w:rPr>
      </w:pPr>
      <w:r>
        <w:rPr>
          <w:rStyle w:val="FootnoteReference"/>
        </w:rPr>
        <w:footnoteRef/>
      </w:r>
      <w:r>
        <w:t xml:space="preserve"> </w:t>
      </w:r>
      <w:r>
        <w:rPr>
          <w:lang w:val="en-US"/>
        </w:rPr>
        <w:t>Sophie Yeo, 'Solomon Islands town to relocate as climate pressure mounts' (15 August 2014) &lt;</w:t>
      </w:r>
      <w:hyperlink r:id="rId39" w:history="1">
        <w:r w:rsidRPr="00061CF8">
          <w:rPr>
            <w:rStyle w:val="Hyperlink"/>
            <w:lang w:val="en-US"/>
          </w:rPr>
          <w:t>http://www.climatechangenews.com/2014/08/15/solomon-islands-town-to-relocate-as-climate-pressures-mount/</w:t>
        </w:r>
      </w:hyperlink>
      <w:r>
        <w:rPr>
          <w:lang w:val="en-US"/>
        </w:rPr>
        <w:t>&gt;.</w:t>
      </w:r>
    </w:p>
  </w:footnote>
  <w:footnote w:id="148">
    <w:p w:rsidR="007211D0" w:rsidRPr="003963D0" w:rsidRDefault="007211D0">
      <w:pPr>
        <w:pStyle w:val="FootnoteText"/>
        <w:rPr>
          <w:lang w:val="en-US"/>
        </w:rPr>
      </w:pPr>
      <w:r>
        <w:rPr>
          <w:rStyle w:val="FootnoteReference"/>
        </w:rPr>
        <w:footnoteRef/>
      </w:r>
      <w:r>
        <w:t xml:space="preserve"> </w:t>
      </w:r>
      <w:proofErr w:type="gramStart"/>
      <w:r>
        <w:rPr>
          <w:lang w:val="en-US"/>
        </w:rPr>
        <w:t>Solomon Islands Gazette, No 14, 15 February 2017, 56.</w:t>
      </w:r>
      <w:proofErr w:type="gramEnd"/>
    </w:p>
  </w:footnote>
  <w:footnote w:id="149">
    <w:p w:rsidR="007211D0" w:rsidRPr="00924B3D" w:rsidRDefault="007211D0" w:rsidP="00FC0D13">
      <w:pPr>
        <w:pStyle w:val="FootnoteText"/>
      </w:pPr>
      <w:r>
        <w:rPr>
          <w:rStyle w:val="FootnoteReference"/>
        </w:rPr>
        <w:footnoteRef/>
      </w:r>
      <w:r>
        <w:t xml:space="preserve"> </w:t>
      </w:r>
      <w:proofErr w:type="gramStart"/>
      <w:r>
        <w:t xml:space="preserve">Douglas </w:t>
      </w:r>
      <w:proofErr w:type="spellStart"/>
      <w:r>
        <w:t>Larden</w:t>
      </w:r>
      <w:proofErr w:type="spellEnd"/>
      <w:r>
        <w:t xml:space="preserve"> and Marjorie Sullivan, 'Strengthening land administration in Solomon Islands', (2008) </w:t>
      </w:r>
      <w:r>
        <w:rPr>
          <w:i/>
        </w:rPr>
        <w:t>Policy Reform and Administration</w:t>
      </w:r>
      <w:r>
        <w:t xml:space="preserve"> 15 &lt;</w:t>
      </w:r>
      <w:hyperlink r:id="rId40" w:history="1">
        <w:r w:rsidRPr="00434FE6">
          <w:rPr>
            <w:rStyle w:val="Hyperlink"/>
          </w:rPr>
          <w:t>http://dfat.gov.au/about-us/publications/Documents/MLW_VolumeTwo_CaseStudy_15.pdf</w:t>
        </w:r>
      </w:hyperlink>
      <w:r>
        <w:t>&gt;.</w:t>
      </w:r>
      <w:proofErr w:type="gramEnd"/>
    </w:p>
  </w:footnote>
  <w:footnote w:id="150">
    <w:p w:rsidR="007211D0" w:rsidRDefault="007211D0" w:rsidP="00FC0D13">
      <w:pPr>
        <w:pStyle w:val="FootnoteText"/>
      </w:pPr>
      <w:r>
        <w:rPr>
          <w:rStyle w:val="FootnoteReference"/>
        </w:rPr>
        <w:footnoteRef/>
      </w:r>
      <w:r>
        <w:t xml:space="preserve"> </w:t>
      </w:r>
      <w:r w:rsidRPr="0091182D">
        <w:t xml:space="preserve">Meg Keen and Alan McNeil, 'After the Floods: Urban Displacement, Lessons from Solomon Islands' (2016) 13 </w:t>
      </w:r>
      <w:r w:rsidRPr="0091182D">
        <w:rPr>
          <w:i/>
        </w:rPr>
        <w:t>State, Society &amp; Governance in Melanesia</w:t>
      </w:r>
      <w:r>
        <w:t xml:space="preserve"> 1 &lt;</w:t>
      </w:r>
      <w:hyperlink r:id="rId41" w:history="1">
        <w:r w:rsidRPr="00434FE6">
          <w:rPr>
            <w:rStyle w:val="Hyperlink"/>
          </w:rPr>
          <w:t>http://ssgm.bellschool.anu.edu.au/sites/default/files/publications/attachments/2016-05/ib-2016-13-keenmcneil_printweb_0.pdf</w:t>
        </w:r>
      </w:hyperlink>
      <w:r>
        <w:t>&gt;.</w:t>
      </w:r>
    </w:p>
  </w:footnote>
  <w:footnote w:id="151">
    <w:p w:rsidR="007211D0" w:rsidRDefault="007211D0" w:rsidP="00FC0D13">
      <w:pPr>
        <w:pStyle w:val="FootnoteText"/>
      </w:pPr>
      <w:r>
        <w:rPr>
          <w:rStyle w:val="FootnoteReference"/>
        </w:rPr>
        <w:footnoteRef/>
      </w:r>
      <w:r>
        <w:t xml:space="preserve"> </w:t>
      </w:r>
      <w:r w:rsidRPr="00B64675">
        <w:rPr>
          <w:i/>
        </w:rPr>
        <w:t>Land and Titles Act</w:t>
      </w:r>
      <w:r w:rsidRPr="00737233">
        <w:t xml:space="preserve"> </w:t>
      </w:r>
      <w:r>
        <w:t>s 79.</w:t>
      </w:r>
    </w:p>
  </w:footnote>
  <w:footnote w:id="152">
    <w:p w:rsidR="007211D0" w:rsidRPr="00966877" w:rsidRDefault="007211D0" w:rsidP="00FC0D13">
      <w:pPr>
        <w:pStyle w:val="FootnoteText"/>
      </w:pPr>
      <w:r>
        <w:rPr>
          <w:rStyle w:val="FootnoteReference"/>
        </w:rPr>
        <w:footnoteRef/>
      </w:r>
      <w:r>
        <w:t xml:space="preserve"> </w:t>
      </w:r>
      <w:r w:rsidRPr="002D70B5">
        <w:t>Australian Agency for International Development</w:t>
      </w:r>
      <w:r>
        <w:t xml:space="preserve"> (</w:t>
      </w:r>
      <w:proofErr w:type="spellStart"/>
      <w:r>
        <w:t>AusAID</w:t>
      </w:r>
      <w:proofErr w:type="spellEnd"/>
      <w:r>
        <w:t>), '</w:t>
      </w:r>
      <w:r w:rsidRPr="00012B74">
        <w:t>Making Land Work: Volume One - Reconciling Customary Land and Development in the Pacific</w:t>
      </w:r>
      <w:r>
        <w:t xml:space="preserve">' (2008) </w:t>
      </w:r>
      <w:r>
        <w:rPr>
          <w:i/>
        </w:rPr>
        <w:t xml:space="preserve">Department of Foreign Affairs and Trade </w:t>
      </w:r>
      <w:r>
        <w:t>1.</w:t>
      </w:r>
    </w:p>
  </w:footnote>
  <w:footnote w:id="153">
    <w:p w:rsidR="007211D0" w:rsidRDefault="007211D0">
      <w:pPr>
        <w:pStyle w:val="FootnoteText"/>
      </w:pPr>
      <w:r>
        <w:rPr>
          <w:rStyle w:val="FootnoteReference"/>
        </w:rPr>
        <w:footnoteRef/>
      </w:r>
      <w:r>
        <w:t xml:space="preserve"> Solomon Islands Shelter Sub-Committee, </w:t>
      </w:r>
      <w:r w:rsidRPr="007D0219">
        <w:rPr>
          <w:i/>
        </w:rPr>
        <w:t>Terms of Reference: Shelter Sub-Committee</w:t>
      </w:r>
      <w:r>
        <w:t xml:space="preserve"> (28 August 2017) &lt;</w:t>
      </w:r>
      <w:r w:rsidRPr="00C17432">
        <w:t>http://sheltercluster.org/sites/default/files/docs/terms_of_reference_solomon_islands_shelter_sub_committee_august_2017_0.pdf</w:t>
      </w:r>
      <w: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1D0" w:rsidRDefault="007211D0">
    <w:pPr>
      <w:pStyle w:val="Header"/>
    </w:pPr>
    <w:r>
      <w:rPr>
        <w:lang w:val="es-EC" w:eastAsia="es-EC"/>
      </w:rPr>
      <w:drawing>
        <wp:anchor distT="0" distB="0" distL="114300" distR="114300" simplePos="0" relativeHeight="251672576" behindDoc="0" locked="0" layoutInCell="1" allowOverlap="1" wp14:anchorId="3EBA5B86" wp14:editId="0E5607F0">
          <wp:simplePos x="0" y="0"/>
          <wp:positionH relativeFrom="column">
            <wp:posOffset>-588010</wp:posOffset>
          </wp:positionH>
          <wp:positionV relativeFrom="paragraph">
            <wp:posOffset>-263525</wp:posOffset>
          </wp:positionV>
          <wp:extent cx="6976800" cy="745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976800" cy="745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6946"/>
      <w:gridCol w:w="2410"/>
    </w:tblGrid>
    <w:tr w:rsidR="007211D0" w:rsidRPr="0077043A" w:rsidTr="00FC0D13">
      <w:trPr>
        <w:trHeight w:hRule="exact" w:val="900"/>
      </w:trPr>
      <w:tc>
        <w:tcPr>
          <w:tcW w:w="6946" w:type="dxa"/>
          <w:vAlign w:val="bottom"/>
        </w:tcPr>
        <w:tbl>
          <w:tblPr>
            <w:tblW w:w="0" w:type="auto"/>
            <w:tblLayout w:type="fixed"/>
            <w:tblCellMar>
              <w:left w:w="0" w:type="dxa"/>
              <w:right w:w="0" w:type="dxa"/>
            </w:tblCellMar>
            <w:tblLook w:val="0000" w:firstRow="0" w:lastRow="0" w:firstColumn="0" w:lastColumn="0" w:noHBand="0" w:noVBand="0"/>
          </w:tblPr>
          <w:tblGrid>
            <w:gridCol w:w="6946"/>
            <w:gridCol w:w="2410"/>
          </w:tblGrid>
          <w:tr w:rsidR="007211D0" w:rsidRPr="00620C38" w:rsidTr="00E67DFD">
            <w:trPr>
              <w:trHeight w:hRule="exact" w:val="900"/>
            </w:trPr>
            <w:tc>
              <w:tcPr>
                <w:tcW w:w="6946" w:type="dxa"/>
                <w:vAlign w:val="bottom"/>
              </w:tcPr>
              <w:p w:rsidR="007211D0" w:rsidRPr="00620C38" w:rsidRDefault="007211D0" w:rsidP="00E67DFD">
                <w:pPr>
                  <w:spacing w:line="240" w:lineRule="auto"/>
                  <w:rPr>
                    <w:noProof/>
                  </w:rPr>
                </w:pPr>
              </w:p>
            </w:tc>
            <w:tc>
              <w:tcPr>
                <w:tcW w:w="2410" w:type="dxa"/>
                <w:vAlign w:val="bottom"/>
              </w:tcPr>
              <w:p w:rsidR="007211D0" w:rsidRPr="00620C38" w:rsidRDefault="007211D0" w:rsidP="00E67DFD">
                <w:pPr>
                  <w:spacing w:line="240" w:lineRule="auto"/>
                  <w:jc w:val="center"/>
                  <w:rPr>
                    <w:noProof/>
                  </w:rPr>
                </w:pPr>
                <w:r>
                  <w:rPr>
                    <w:rFonts w:ascii="Times New Roman" w:hAnsi="Times New Roman"/>
                    <w:noProof/>
                    <w:lang w:val="es-EC" w:eastAsia="es-EC"/>
                  </w:rPr>
                  <w:drawing>
                    <wp:inline distT="0" distB="0" distL="0" distR="0" wp14:anchorId="157B3704" wp14:editId="32FA4A1A">
                      <wp:extent cx="1442085" cy="132080"/>
                      <wp:effectExtent l="0" t="0" r="571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02051"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2085" cy="132080"/>
                              </a:xfrm>
                              <a:prstGeom prst="rect">
                                <a:avLst/>
                              </a:prstGeom>
                              <a:noFill/>
                              <a:ln>
                                <a:noFill/>
                              </a:ln>
                            </pic:spPr>
                          </pic:pic>
                        </a:graphicData>
                      </a:graphic>
                    </wp:inline>
                  </w:drawing>
                </w:r>
              </w:p>
            </w:tc>
          </w:tr>
        </w:tbl>
        <w:p w:rsidR="007211D0" w:rsidRDefault="007211D0" w:rsidP="00FC0D13">
          <w:pPr>
            <w:pStyle w:val="HeaderTitle"/>
          </w:pPr>
        </w:p>
      </w:tc>
      <w:tc>
        <w:tcPr>
          <w:tcW w:w="2410" w:type="dxa"/>
          <w:vAlign w:val="bottom"/>
        </w:tcPr>
        <w:p w:rsidR="007211D0" w:rsidRPr="006A4582" w:rsidRDefault="007211D0" w:rsidP="00FC0D13">
          <w:pPr>
            <w:pStyle w:val="HeaderTitle"/>
            <w:jc w:val="right"/>
            <w:rPr>
              <w:rFonts w:ascii="Times New Roman" w:hAnsi="Times New Roman"/>
            </w:rPr>
          </w:pPr>
        </w:p>
      </w:tc>
    </w:tr>
  </w:tbl>
  <w:p w:rsidR="007211D0" w:rsidRPr="00620C38" w:rsidRDefault="007211D0" w:rsidP="00620C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946"/>
      <w:gridCol w:w="2410"/>
    </w:tblGrid>
    <w:tr w:rsidR="007211D0" w:rsidRPr="00620C38" w:rsidTr="00FC0D13">
      <w:trPr>
        <w:trHeight w:hRule="exact" w:val="900"/>
      </w:trPr>
      <w:tc>
        <w:tcPr>
          <w:tcW w:w="6946" w:type="dxa"/>
          <w:vAlign w:val="bottom"/>
        </w:tcPr>
        <w:p w:rsidR="007211D0" w:rsidRPr="00620C38" w:rsidRDefault="007211D0" w:rsidP="00620C38">
          <w:pPr>
            <w:spacing w:line="240" w:lineRule="auto"/>
            <w:rPr>
              <w:noProof/>
            </w:rPr>
          </w:pPr>
        </w:p>
      </w:tc>
      <w:tc>
        <w:tcPr>
          <w:tcW w:w="2410" w:type="dxa"/>
          <w:vAlign w:val="bottom"/>
        </w:tcPr>
        <w:p w:rsidR="007211D0" w:rsidRPr="00620C38" w:rsidRDefault="007211D0" w:rsidP="00620C38">
          <w:pPr>
            <w:spacing w:line="240" w:lineRule="auto"/>
            <w:jc w:val="center"/>
            <w:rPr>
              <w:noProof/>
            </w:rPr>
          </w:pPr>
          <w:r>
            <w:rPr>
              <w:rFonts w:ascii="Times New Roman" w:hAnsi="Times New Roman"/>
              <w:noProof/>
              <w:lang w:val="es-EC" w:eastAsia="es-EC"/>
            </w:rPr>
            <w:drawing>
              <wp:inline distT="0" distB="0" distL="0" distR="0" wp14:anchorId="0BFBA303" wp14:editId="4FA96A01">
                <wp:extent cx="1442085" cy="132080"/>
                <wp:effectExtent l="0" t="0" r="571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02051"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2085" cy="132080"/>
                        </a:xfrm>
                        <a:prstGeom prst="rect">
                          <a:avLst/>
                        </a:prstGeom>
                        <a:noFill/>
                        <a:ln>
                          <a:noFill/>
                        </a:ln>
                      </pic:spPr>
                    </pic:pic>
                  </a:graphicData>
                </a:graphic>
              </wp:inline>
            </w:drawing>
          </w:r>
        </w:p>
      </w:tc>
    </w:tr>
  </w:tbl>
  <w:p w:rsidR="007211D0" w:rsidRPr="00620C38" w:rsidRDefault="007211D0" w:rsidP="00620C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6946"/>
      <w:gridCol w:w="2410"/>
    </w:tblGrid>
    <w:tr w:rsidR="007211D0" w:rsidRPr="0077043A" w:rsidTr="00FC0D13">
      <w:trPr>
        <w:trHeight w:hRule="exact" w:val="900"/>
      </w:trPr>
      <w:tc>
        <w:tcPr>
          <w:tcW w:w="6946" w:type="dxa"/>
          <w:vAlign w:val="bottom"/>
        </w:tcPr>
        <w:p w:rsidR="007211D0" w:rsidRDefault="007211D0" w:rsidP="006169DA">
          <w:pPr>
            <w:pStyle w:val="HeaderTitle"/>
            <w:ind w:left="720"/>
            <w:jc w:val="right"/>
          </w:pPr>
          <w:r>
            <w:rPr>
              <w:lang w:val="es-EC" w:eastAsia="es-EC"/>
            </w:rPr>
            <w:drawing>
              <wp:anchor distT="0" distB="0" distL="114300" distR="114300" simplePos="0" relativeHeight="251663360" behindDoc="0" locked="0" layoutInCell="1" allowOverlap="1" wp14:anchorId="31547FE1" wp14:editId="11BABA93">
                <wp:simplePos x="0" y="0"/>
                <wp:positionH relativeFrom="column">
                  <wp:posOffset>-570230</wp:posOffset>
                </wp:positionH>
                <wp:positionV relativeFrom="paragraph">
                  <wp:posOffset>-338455</wp:posOffset>
                </wp:positionV>
                <wp:extent cx="4067810" cy="509905"/>
                <wp:effectExtent l="0" t="0" r="889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009" t="26174" r="5188" b="31543"/>
                        <a:stretch/>
                      </pic:blipFill>
                      <pic:spPr bwMode="auto">
                        <a:xfrm>
                          <a:off x="0" y="0"/>
                          <a:ext cx="4067810" cy="509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21186">
            <w:rPr>
              <w:i/>
              <w:lang w:val="es-EC" w:eastAsia="es-EC"/>
            </w:rPr>
            <w:drawing>
              <wp:anchor distT="0" distB="0" distL="114300" distR="114300" simplePos="0" relativeHeight="251662336" behindDoc="0" locked="0" layoutInCell="1" allowOverlap="1" wp14:anchorId="43945917" wp14:editId="2D2AB055">
                <wp:simplePos x="0" y="0"/>
                <wp:positionH relativeFrom="column">
                  <wp:posOffset>3947795</wp:posOffset>
                </wp:positionH>
                <wp:positionV relativeFrom="paragraph">
                  <wp:posOffset>-540385</wp:posOffset>
                </wp:positionV>
                <wp:extent cx="2562225" cy="73279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9766"/>
                        <a:stretch/>
                      </pic:blipFill>
                      <pic:spPr bwMode="auto">
                        <a:xfrm>
                          <a:off x="0" y="0"/>
                          <a:ext cx="2562225"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vAlign w:val="bottom"/>
        </w:tcPr>
        <w:p w:rsidR="007211D0" w:rsidRPr="006A4582" w:rsidRDefault="007211D0" w:rsidP="00FC0D13">
          <w:pPr>
            <w:pStyle w:val="HeaderTitle"/>
            <w:jc w:val="right"/>
            <w:rPr>
              <w:rFonts w:ascii="Times New Roman" w:hAnsi="Times New Roman"/>
            </w:rPr>
          </w:pPr>
        </w:p>
      </w:tc>
    </w:tr>
  </w:tbl>
  <w:p w:rsidR="007211D0" w:rsidRPr="00620C38" w:rsidRDefault="007211D0" w:rsidP="00620C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3FCB"/>
    <w:multiLevelType w:val="hybridMultilevel"/>
    <w:tmpl w:val="2A58E95A"/>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6B91A9D"/>
    <w:multiLevelType w:val="multilevel"/>
    <w:tmpl w:val="7FF6701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nsid w:val="0D505909"/>
    <w:multiLevelType w:val="hybridMultilevel"/>
    <w:tmpl w:val="E00AA0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FEC07FD"/>
    <w:multiLevelType w:val="hybridMultilevel"/>
    <w:tmpl w:val="5712DEA0"/>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03C66DD"/>
    <w:multiLevelType w:val="hybridMultilevel"/>
    <w:tmpl w:val="174E9316"/>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12A0D2A"/>
    <w:multiLevelType w:val="hybridMultilevel"/>
    <w:tmpl w:val="4E94E7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7911D01"/>
    <w:multiLevelType w:val="hybridMultilevel"/>
    <w:tmpl w:val="B5CE516C"/>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FE36155"/>
    <w:multiLevelType w:val="hybridMultilevel"/>
    <w:tmpl w:val="6C903AD8"/>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2DB2662"/>
    <w:multiLevelType w:val="multilevel"/>
    <w:tmpl w:val="A108549C"/>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9">
    <w:nsid w:val="3830445A"/>
    <w:multiLevelType w:val="hybridMultilevel"/>
    <w:tmpl w:val="CEA08702"/>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8345179"/>
    <w:multiLevelType w:val="hybridMultilevel"/>
    <w:tmpl w:val="AEF46D2C"/>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12">
    <w:nsid w:val="3D5A7286"/>
    <w:multiLevelType w:val="multilevel"/>
    <w:tmpl w:val="CC02137E"/>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rPr>
    </w:lvl>
    <w:lvl w:ilvl="3">
      <w:start w:val="1"/>
      <w:numFmt w:val="lowerRoman"/>
      <w:pStyle w:val="AllensHeading4"/>
      <w:lvlText w:val="(%4)"/>
      <w:lvlJc w:val="left"/>
      <w:pPr>
        <w:tabs>
          <w:tab w:val="num" w:pos="2126"/>
        </w:tabs>
        <w:ind w:left="2126" w:hanging="708"/>
      </w:pPr>
      <w:rPr>
        <w:rFonts w:hint="default"/>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nsid w:val="3D7E39C9"/>
    <w:multiLevelType w:val="multilevel"/>
    <w:tmpl w:val="EAAC60A0"/>
    <w:lvl w:ilvl="0">
      <w:start w:val="1"/>
      <w:numFmt w:val="decimal"/>
      <w:pStyle w:val="Schedule"/>
      <w:suff w:val="nothing"/>
      <w:lvlText w:val="Schedule %1"/>
      <w:lvlJc w:val="left"/>
      <w:pPr>
        <w:ind w:left="709" w:hanging="709"/>
      </w:pPr>
      <w:rPr>
        <w:rFonts w:hint="default"/>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14">
    <w:nsid w:val="3FE9176B"/>
    <w:multiLevelType w:val="multilevel"/>
    <w:tmpl w:val="D7B282F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a%6)"/>
      <w:lvlJc w:val="left"/>
      <w:pPr>
        <w:tabs>
          <w:tab w:val="num" w:pos="3600"/>
        </w:tabs>
        <w:ind w:left="360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FF6050F"/>
    <w:multiLevelType w:val="multilevel"/>
    <w:tmpl w:val="5EB81EE2"/>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
    <w:nsid w:val="4C2C69D5"/>
    <w:multiLevelType w:val="hybridMultilevel"/>
    <w:tmpl w:val="9DDA4022"/>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EB40ABD"/>
    <w:multiLevelType w:val="singleLevel"/>
    <w:tmpl w:val="78BC41CC"/>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18">
    <w:nsid w:val="50BE55BF"/>
    <w:multiLevelType w:val="hybridMultilevel"/>
    <w:tmpl w:val="98BA9C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62674AEB"/>
    <w:multiLevelType w:val="hybridMultilevel"/>
    <w:tmpl w:val="C186E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66D0033A"/>
    <w:multiLevelType w:val="hybridMultilevel"/>
    <w:tmpl w:val="0C1E4018"/>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22">
    <w:nsid w:val="6AD24AAA"/>
    <w:multiLevelType w:val="singleLevel"/>
    <w:tmpl w:val="D6DE9F2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23">
    <w:nsid w:val="6BE62362"/>
    <w:multiLevelType w:val="hybridMultilevel"/>
    <w:tmpl w:val="64FEFEA8"/>
    <w:lvl w:ilvl="0" w:tplc="9E04A5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num w:numId="1">
    <w:abstractNumId w:val="12"/>
  </w:num>
  <w:num w:numId="2">
    <w:abstractNumId w:val="24"/>
  </w:num>
  <w:num w:numId="3">
    <w:abstractNumId w:val="11"/>
  </w:num>
  <w:num w:numId="4">
    <w:abstractNumId w:val="17"/>
  </w:num>
  <w:num w:numId="5">
    <w:abstractNumId w:val="15"/>
  </w:num>
  <w:num w:numId="6">
    <w:abstractNumId w:val="22"/>
  </w:num>
  <w:num w:numId="7">
    <w:abstractNumId w:val="21"/>
  </w:num>
  <w:num w:numId="8">
    <w:abstractNumId w:val="8"/>
  </w:num>
  <w:num w:numId="9">
    <w:abstractNumId w:val="1"/>
  </w:num>
  <w:num w:numId="10">
    <w:abstractNumId w:val="13"/>
  </w:num>
  <w:num w:numId="11">
    <w:abstractNumId w:val="19"/>
  </w:num>
  <w:num w:numId="12">
    <w:abstractNumId w:val="23"/>
  </w:num>
  <w:num w:numId="13">
    <w:abstractNumId w:val="3"/>
  </w:num>
  <w:num w:numId="14">
    <w:abstractNumId w:val="4"/>
  </w:num>
  <w:num w:numId="15">
    <w:abstractNumId w:val="16"/>
  </w:num>
  <w:num w:numId="16">
    <w:abstractNumId w:val="2"/>
  </w:num>
  <w:num w:numId="17">
    <w:abstractNumId w:val="18"/>
  </w:num>
  <w:num w:numId="18">
    <w:abstractNumId w:val="9"/>
  </w:num>
  <w:num w:numId="19">
    <w:abstractNumId w:val="6"/>
  </w:num>
  <w:num w:numId="20">
    <w:abstractNumId w:val="20"/>
  </w:num>
  <w:num w:numId="21">
    <w:abstractNumId w:val="0"/>
  </w:num>
  <w:num w:numId="22">
    <w:abstractNumId w:val="10"/>
  </w:num>
  <w:num w:numId="23">
    <w:abstractNumId w:val="7"/>
  </w:num>
  <w:num w:numId="24">
    <w:abstractNumId w:val="12"/>
  </w:num>
  <w:num w:numId="25">
    <w:abstractNumId w:val="12"/>
  </w:num>
  <w:num w:numId="26">
    <w:abstractNumId w:val="12"/>
  </w:num>
  <w:num w:numId="27">
    <w:abstractNumId w:val="14"/>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45">
    <w:abstractNumId w:val="5"/>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06B"/>
    <w:rsid w:val="00011693"/>
    <w:rsid w:val="00016DC8"/>
    <w:rsid w:val="00021196"/>
    <w:rsid w:val="00021F36"/>
    <w:rsid w:val="00040213"/>
    <w:rsid w:val="00050E82"/>
    <w:rsid w:val="00076537"/>
    <w:rsid w:val="0009598C"/>
    <w:rsid w:val="00095B77"/>
    <w:rsid w:val="000A312C"/>
    <w:rsid w:val="000A4FB7"/>
    <w:rsid w:val="000B7865"/>
    <w:rsid w:val="000C01D3"/>
    <w:rsid w:val="000D4FA5"/>
    <w:rsid w:val="000F502F"/>
    <w:rsid w:val="000F5ABF"/>
    <w:rsid w:val="00100659"/>
    <w:rsid w:val="00114335"/>
    <w:rsid w:val="001166ED"/>
    <w:rsid w:val="00131D09"/>
    <w:rsid w:val="00157C7F"/>
    <w:rsid w:val="001636E1"/>
    <w:rsid w:val="001704C3"/>
    <w:rsid w:val="00187B42"/>
    <w:rsid w:val="00187FC8"/>
    <w:rsid w:val="001B2E78"/>
    <w:rsid w:val="001C25DB"/>
    <w:rsid w:val="001F4AD5"/>
    <w:rsid w:val="00200C3A"/>
    <w:rsid w:val="00203CA4"/>
    <w:rsid w:val="00212E62"/>
    <w:rsid w:val="00213BB2"/>
    <w:rsid w:val="00274853"/>
    <w:rsid w:val="002C035B"/>
    <w:rsid w:val="002E0A29"/>
    <w:rsid w:val="00300FC5"/>
    <w:rsid w:val="00304B3F"/>
    <w:rsid w:val="00322BFF"/>
    <w:rsid w:val="00334D01"/>
    <w:rsid w:val="0034152E"/>
    <w:rsid w:val="00341EDD"/>
    <w:rsid w:val="0039323D"/>
    <w:rsid w:val="003C2EB6"/>
    <w:rsid w:val="003C5448"/>
    <w:rsid w:val="003D3918"/>
    <w:rsid w:val="003D72A3"/>
    <w:rsid w:val="00460468"/>
    <w:rsid w:val="00480EF8"/>
    <w:rsid w:val="00485B2C"/>
    <w:rsid w:val="004F1551"/>
    <w:rsid w:val="00506C03"/>
    <w:rsid w:val="005314E6"/>
    <w:rsid w:val="00556360"/>
    <w:rsid w:val="00557509"/>
    <w:rsid w:val="00570A76"/>
    <w:rsid w:val="005759CA"/>
    <w:rsid w:val="00585710"/>
    <w:rsid w:val="005A1B29"/>
    <w:rsid w:val="005F4174"/>
    <w:rsid w:val="006169DA"/>
    <w:rsid w:val="00616B79"/>
    <w:rsid w:val="00620C38"/>
    <w:rsid w:val="00663A39"/>
    <w:rsid w:val="00683CB4"/>
    <w:rsid w:val="0069679B"/>
    <w:rsid w:val="006B260D"/>
    <w:rsid w:val="006C13F8"/>
    <w:rsid w:val="006E4D10"/>
    <w:rsid w:val="006F1291"/>
    <w:rsid w:val="00700930"/>
    <w:rsid w:val="00704738"/>
    <w:rsid w:val="00706475"/>
    <w:rsid w:val="007211D0"/>
    <w:rsid w:val="00726A23"/>
    <w:rsid w:val="00731F1E"/>
    <w:rsid w:val="007327ED"/>
    <w:rsid w:val="007456B0"/>
    <w:rsid w:val="00750CAA"/>
    <w:rsid w:val="00753B20"/>
    <w:rsid w:val="007A1DA0"/>
    <w:rsid w:val="007B0D88"/>
    <w:rsid w:val="007C737C"/>
    <w:rsid w:val="007F500D"/>
    <w:rsid w:val="0081494B"/>
    <w:rsid w:val="0082040D"/>
    <w:rsid w:val="00837213"/>
    <w:rsid w:val="008401EE"/>
    <w:rsid w:val="00856388"/>
    <w:rsid w:val="00870124"/>
    <w:rsid w:val="008B4763"/>
    <w:rsid w:val="008B5BD3"/>
    <w:rsid w:val="008C3672"/>
    <w:rsid w:val="008D7DED"/>
    <w:rsid w:val="008F3D6F"/>
    <w:rsid w:val="00924180"/>
    <w:rsid w:val="009302FD"/>
    <w:rsid w:val="0093119A"/>
    <w:rsid w:val="00934E5E"/>
    <w:rsid w:val="00955B49"/>
    <w:rsid w:val="0097760E"/>
    <w:rsid w:val="009911A9"/>
    <w:rsid w:val="009D7B33"/>
    <w:rsid w:val="00A11222"/>
    <w:rsid w:val="00A444CE"/>
    <w:rsid w:val="00A45155"/>
    <w:rsid w:val="00A50181"/>
    <w:rsid w:val="00A5343C"/>
    <w:rsid w:val="00A62DD1"/>
    <w:rsid w:val="00A921DA"/>
    <w:rsid w:val="00A93A78"/>
    <w:rsid w:val="00AA4233"/>
    <w:rsid w:val="00AC7778"/>
    <w:rsid w:val="00B0651A"/>
    <w:rsid w:val="00B066B8"/>
    <w:rsid w:val="00B1739E"/>
    <w:rsid w:val="00B814D5"/>
    <w:rsid w:val="00B85BE6"/>
    <w:rsid w:val="00B8716E"/>
    <w:rsid w:val="00BA7857"/>
    <w:rsid w:val="00BC42AC"/>
    <w:rsid w:val="00BD55BF"/>
    <w:rsid w:val="00BE45D9"/>
    <w:rsid w:val="00BE6CF3"/>
    <w:rsid w:val="00C41419"/>
    <w:rsid w:val="00C42C2B"/>
    <w:rsid w:val="00C438CA"/>
    <w:rsid w:val="00C54731"/>
    <w:rsid w:val="00C607A8"/>
    <w:rsid w:val="00C844EA"/>
    <w:rsid w:val="00C8796E"/>
    <w:rsid w:val="00CA7DB1"/>
    <w:rsid w:val="00CB348E"/>
    <w:rsid w:val="00D37D0D"/>
    <w:rsid w:val="00D4266E"/>
    <w:rsid w:val="00D623C9"/>
    <w:rsid w:val="00D6687B"/>
    <w:rsid w:val="00DA0370"/>
    <w:rsid w:val="00DA061F"/>
    <w:rsid w:val="00DA6B3E"/>
    <w:rsid w:val="00DB3CE5"/>
    <w:rsid w:val="00DC08DC"/>
    <w:rsid w:val="00DD2B25"/>
    <w:rsid w:val="00DE0C8E"/>
    <w:rsid w:val="00DF0A68"/>
    <w:rsid w:val="00E008D4"/>
    <w:rsid w:val="00E30E46"/>
    <w:rsid w:val="00E45152"/>
    <w:rsid w:val="00E67DFD"/>
    <w:rsid w:val="00EE55CE"/>
    <w:rsid w:val="00F02FBC"/>
    <w:rsid w:val="00F26EE4"/>
    <w:rsid w:val="00F35069"/>
    <w:rsid w:val="00F37349"/>
    <w:rsid w:val="00F858A2"/>
    <w:rsid w:val="00FB206B"/>
    <w:rsid w:val="00FC0D13"/>
    <w:rsid w:val="00FF0C2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header" w:uiPriority="0"/>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uiPriority="11" w:unhideWhenUsed="0" w:qFormat="1"/>
    <w:lsdException w:name="Strong" w:uiPriority="22" w:unhideWhenUsed="0" w:qFormat="1"/>
    <w:lsdException w:name="Emphasis"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7349"/>
    <w:pPr>
      <w:spacing w:before="100" w:after="0" w:line="288" w:lineRule="auto"/>
    </w:pPr>
    <w:rPr>
      <w:rFonts w:ascii="Arial" w:eastAsia="Times New Roman" w:hAnsi="Arial" w:cs="Times New Roman"/>
      <w:sz w:val="20"/>
      <w:szCs w:val="20"/>
      <w:lang w:eastAsia="en-AU"/>
    </w:rPr>
  </w:style>
  <w:style w:type="paragraph" w:styleId="Heading1">
    <w:name w:val="heading 1"/>
    <w:basedOn w:val="Normal"/>
    <w:next w:val="Normal"/>
    <w:link w:val="Heading1Char"/>
    <w:rsid w:val="00620C38"/>
    <w:pPr>
      <w:outlineLvl w:val="0"/>
    </w:pPr>
  </w:style>
  <w:style w:type="paragraph" w:styleId="Heading2">
    <w:name w:val="heading 2"/>
    <w:basedOn w:val="Normal"/>
    <w:next w:val="NormalIndent"/>
    <w:link w:val="Heading2Char"/>
    <w:semiHidden/>
    <w:rsid w:val="00620C38"/>
    <w:pPr>
      <w:outlineLvl w:val="1"/>
    </w:pPr>
  </w:style>
  <w:style w:type="paragraph" w:styleId="Heading3">
    <w:name w:val="heading 3"/>
    <w:basedOn w:val="Normal"/>
    <w:link w:val="Heading3Char"/>
    <w:semiHidden/>
    <w:rsid w:val="00620C38"/>
    <w:pPr>
      <w:outlineLvl w:val="2"/>
    </w:pPr>
  </w:style>
  <w:style w:type="paragraph" w:styleId="Heading4">
    <w:name w:val="heading 4"/>
    <w:basedOn w:val="Normal"/>
    <w:link w:val="Heading4Char"/>
    <w:semiHidden/>
    <w:rsid w:val="00620C38"/>
    <w:pPr>
      <w:outlineLvl w:val="3"/>
    </w:pPr>
  </w:style>
  <w:style w:type="paragraph" w:styleId="Heading5">
    <w:name w:val="heading 5"/>
    <w:basedOn w:val="Normal"/>
    <w:link w:val="Heading5Char"/>
    <w:semiHidden/>
    <w:rsid w:val="00620C38"/>
    <w:pPr>
      <w:outlineLvl w:val="4"/>
    </w:pPr>
  </w:style>
  <w:style w:type="paragraph" w:styleId="Heading6">
    <w:name w:val="heading 6"/>
    <w:basedOn w:val="Normal"/>
    <w:link w:val="Heading6Char"/>
    <w:semiHidden/>
    <w:rsid w:val="00620C38"/>
    <w:pPr>
      <w:outlineLvl w:val="5"/>
    </w:pPr>
  </w:style>
  <w:style w:type="paragraph" w:styleId="Heading7">
    <w:name w:val="heading 7"/>
    <w:basedOn w:val="Normal"/>
    <w:next w:val="Normal"/>
    <w:link w:val="Heading7Char"/>
    <w:semiHidden/>
    <w:rsid w:val="00620C38"/>
    <w:pPr>
      <w:outlineLvl w:val="6"/>
    </w:pPr>
  </w:style>
  <w:style w:type="paragraph" w:styleId="Heading8">
    <w:name w:val="heading 8"/>
    <w:basedOn w:val="Normal"/>
    <w:next w:val="Normal"/>
    <w:link w:val="Heading8Char"/>
    <w:semiHidden/>
    <w:rsid w:val="00620C38"/>
    <w:pPr>
      <w:outlineLvl w:val="7"/>
    </w:pPr>
  </w:style>
  <w:style w:type="paragraph" w:styleId="Heading9">
    <w:name w:val="heading 9"/>
    <w:basedOn w:val="Normal"/>
    <w:next w:val="Normal"/>
    <w:link w:val="Heading9Char"/>
    <w:semiHidden/>
    <w:rsid w:val="00620C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ensHeading1">
    <w:name w:val="Allens Heading 1"/>
    <w:basedOn w:val="Normal"/>
    <w:next w:val="AllensHeading2"/>
    <w:qFormat/>
    <w:rsid w:val="00620C38"/>
    <w:pPr>
      <w:keepNext/>
      <w:numPr>
        <w:numId w:val="1"/>
      </w:numPr>
      <w:spacing w:before="200"/>
      <w:outlineLvl w:val="0"/>
    </w:pPr>
    <w:rPr>
      <w:b/>
      <w:sz w:val="22"/>
    </w:rPr>
  </w:style>
  <w:style w:type="paragraph" w:customStyle="1" w:styleId="AllensHeading2">
    <w:name w:val="Allens Heading 2"/>
    <w:basedOn w:val="Normal"/>
    <w:next w:val="NormalIndent"/>
    <w:qFormat/>
    <w:rsid w:val="00620C38"/>
    <w:pPr>
      <w:keepNext/>
      <w:numPr>
        <w:ilvl w:val="1"/>
        <w:numId w:val="1"/>
      </w:numPr>
      <w:spacing w:before="160"/>
      <w:outlineLvl w:val="1"/>
    </w:pPr>
    <w:rPr>
      <w:b/>
      <w:sz w:val="21"/>
    </w:rPr>
  </w:style>
  <w:style w:type="paragraph" w:styleId="NormalIndent">
    <w:name w:val="Normal Indent"/>
    <w:basedOn w:val="Normal"/>
    <w:qFormat/>
    <w:rsid w:val="00620C38"/>
    <w:pPr>
      <w:ind w:left="709"/>
    </w:pPr>
  </w:style>
  <w:style w:type="paragraph" w:customStyle="1" w:styleId="AllensHeading3">
    <w:name w:val="Allens Heading 3"/>
    <w:basedOn w:val="Normal"/>
    <w:qFormat/>
    <w:rsid w:val="00620C38"/>
    <w:pPr>
      <w:numPr>
        <w:ilvl w:val="2"/>
        <w:numId w:val="1"/>
      </w:numPr>
    </w:pPr>
  </w:style>
  <w:style w:type="paragraph" w:customStyle="1" w:styleId="AllensHeading4">
    <w:name w:val="Allens Heading 4"/>
    <w:basedOn w:val="Normal"/>
    <w:qFormat/>
    <w:rsid w:val="00620C38"/>
    <w:pPr>
      <w:numPr>
        <w:ilvl w:val="3"/>
        <w:numId w:val="1"/>
      </w:numPr>
    </w:pPr>
  </w:style>
  <w:style w:type="paragraph" w:customStyle="1" w:styleId="AllensHeading5">
    <w:name w:val="Allens Heading 5"/>
    <w:basedOn w:val="Normal"/>
    <w:qFormat/>
    <w:rsid w:val="00620C38"/>
    <w:pPr>
      <w:numPr>
        <w:ilvl w:val="4"/>
        <w:numId w:val="1"/>
      </w:numPr>
    </w:pPr>
  </w:style>
  <w:style w:type="paragraph" w:customStyle="1" w:styleId="AllensHeading6">
    <w:name w:val="Allens Heading 6"/>
    <w:basedOn w:val="Normal"/>
    <w:qFormat/>
    <w:rsid w:val="00620C38"/>
    <w:pPr>
      <w:numPr>
        <w:ilvl w:val="5"/>
        <w:numId w:val="1"/>
      </w:numPr>
    </w:pPr>
  </w:style>
  <w:style w:type="character" w:customStyle="1" w:styleId="AuthorNote">
    <w:name w:val="Author Note"/>
    <w:aliases w:val="AN"/>
    <w:uiPriority w:val="1"/>
    <w:qFormat/>
    <w:rsid w:val="00620C38"/>
    <w:rPr>
      <w:rFonts w:ascii="Arial" w:hAnsi="Arial"/>
      <w:b/>
      <w:vanish/>
      <w:color w:val="0074BF"/>
      <w:sz w:val="20"/>
    </w:rPr>
  </w:style>
  <w:style w:type="paragraph" w:styleId="BalloonText">
    <w:name w:val="Balloon Text"/>
    <w:basedOn w:val="Normal"/>
    <w:link w:val="BalloonTextChar"/>
    <w:semiHidden/>
    <w:rsid w:val="00620C3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20C38"/>
    <w:rPr>
      <w:rFonts w:ascii="Tahoma" w:eastAsia="Times New Roman" w:hAnsi="Tahoma" w:cs="Tahoma"/>
      <w:sz w:val="16"/>
      <w:szCs w:val="16"/>
      <w:lang w:eastAsia="en-AU"/>
    </w:rPr>
  </w:style>
  <w:style w:type="paragraph" w:styleId="BodyText">
    <w:name w:val="Body Text"/>
    <w:basedOn w:val="Normal"/>
    <w:link w:val="BodyTextChar"/>
    <w:qFormat/>
    <w:rsid w:val="00620C38"/>
    <w:pPr>
      <w:spacing w:before="0" w:line="240" w:lineRule="auto"/>
    </w:pPr>
  </w:style>
  <w:style w:type="character" w:customStyle="1" w:styleId="BodyTextChar">
    <w:name w:val="Body Text Char"/>
    <w:basedOn w:val="DefaultParagraphFont"/>
    <w:link w:val="BodyText"/>
    <w:rsid w:val="00620C38"/>
    <w:rPr>
      <w:rFonts w:ascii="Arial" w:eastAsia="Times New Roman" w:hAnsi="Arial" w:cs="Times New Roman"/>
      <w:sz w:val="20"/>
      <w:szCs w:val="20"/>
      <w:lang w:eastAsia="en-AU"/>
    </w:rPr>
  </w:style>
  <w:style w:type="paragraph" w:styleId="BodyTextIndent">
    <w:name w:val="Body Text Indent"/>
    <w:basedOn w:val="BodyText"/>
    <w:link w:val="BodyTextIndentChar"/>
    <w:qFormat/>
    <w:rsid w:val="00620C38"/>
    <w:pPr>
      <w:ind w:left="709"/>
    </w:pPr>
  </w:style>
  <w:style w:type="character" w:customStyle="1" w:styleId="BodyTextIndentChar">
    <w:name w:val="Body Text Indent Char"/>
    <w:basedOn w:val="DefaultParagraphFont"/>
    <w:link w:val="BodyTextIndent"/>
    <w:rsid w:val="00620C38"/>
    <w:rPr>
      <w:rFonts w:ascii="Arial" w:eastAsia="Times New Roman" w:hAnsi="Arial" w:cs="Times New Roman"/>
      <w:sz w:val="20"/>
      <w:szCs w:val="20"/>
      <w:lang w:eastAsia="en-AU"/>
    </w:rPr>
  </w:style>
  <w:style w:type="paragraph" w:customStyle="1" w:styleId="Bullet1">
    <w:name w:val="Bullet 1"/>
    <w:basedOn w:val="Normal"/>
    <w:qFormat/>
    <w:rsid w:val="00620C38"/>
    <w:pPr>
      <w:numPr>
        <w:numId w:val="2"/>
      </w:numPr>
    </w:pPr>
  </w:style>
  <w:style w:type="paragraph" w:customStyle="1" w:styleId="Bullet2">
    <w:name w:val="Bullet 2"/>
    <w:basedOn w:val="Normal"/>
    <w:qFormat/>
    <w:rsid w:val="00620C38"/>
    <w:pPr>
      <w:numPr>
        <w:numId w:val="3"/>
      </w:numPr>
    </w:pPr>
  </w:style>
  <w:style w:type="paragraph" w:customStyle="1" w:styleId="Bullet3">
    <w:name w:val="Bullet 3"/>
    <w:basedOn w:val="Normal"/>
    <w:qFormat/>
    <w:rsid w:val="00620C38"/>
    <w:pPr>
      <w:numPr>
        <w:numId w:val="4"/>
      </w:numPr>
    </w:pPr>
  </w:style>
  <w:style w:type="paragraph" w:customStyle="1" w:styleId="ContentsHeading">
    <w:name w:val="Contents Heading"/>
    <w:basedOn w:val="Normal"/>
    <w:next w:val="Normal"/>
    <w:qFormat/>
    <w:rsid w:val="00620C38"/>
    <w:pPr>
      <w:spacing w:before="0"/>
    </w:pPr>
    <w:rPr>
      <w:b/>
      <w:sz w:val="22"/>
    </w:rPr>
  </w:style>
  <w:style w:type="paragraph" w:customStyle="1" w:styleId="Definitions">
    <w:name w:val="Definitions"/>
    <w:basedOn w:val="NormalIndent"/>
    <w:qFormat/>
    <w:rsid w:val="00620C38"/>
    <w:pPr>
      <w:numPr>
        <w:numId w:val="5"/>
      </w:numPr>
    </w:pPr>
  </w:style>
  <w:style w:type="paragraph" w:customStyle="1" w:styleId="Definitionsa">
    <w:name w:val="Definitions (a)"/>
    <w:basedOn w:val="Normal"/>
    <w:qFormat/>
    <w:rsid w:val="00620C38"/>
    <w:pPr>
      <w:numPr>
        <w:ilvl w:val="1"/>
        <w:numId w:val="5"/>
      </w:numPr>
    </w:pPr>
  </w:style>
  <w:style w:type="paragraph" w:customStyle="1" w:styleId="Definitionsi">
    <w:name w:val="Definitions (i)"/>
    <w:basedOn w:val="Normal"/>
    <w:qFormat/>
    <w:rsid w:val="00620C38"/>
    <w:pPr>
      <w:numPr>
        <w:ilvl w:val="2"/>
        <w:numId w:val="5"/>
      </w:numPr>
    </w:pPr>
  </w:style>
  <w:style w:type="paragraph" w:styleId="Footer">
    <w:name w:val="footer"/>
    <w:basedOn w:val="Normal"/>
    <w:link w:val="FooterChar"/>
    <w:qFormat/>
    <w:rsid w:val="00620C38"/>
    <w:pPr>
      <w:spacing w:before="40" w:line="240" w:lineRule="auto"/>
    </w:pPr>
    <w:rPr>
      <w:noProof/>
      <w:sz w:val="16"/>
    </w:rPr>
  </w:style>
  <w:style w:type="character" w:customStyle="1" w:styleId="FooterChar">
    <w:name w:val="Footer Char"/>
    <w:basedOn w:val="DefaultParagraphFont"/>
    <w:link w:val="Footer"/>
    <w:rsid w:val="00620C38"/>
    <w:rPr>
      <w:rFonts w:ascii="Arial" w:eastAsia="Times New Roman" w:hAnsi="Arial" w:cs="Times New Roman"/>
      <w:noProof/>
      <w:sz w:val="16"/>
      <w:szCs w:val="20"/>
      <w:lang w:eastAsia="en-AU"/>
    </w:rPr>
  </w:style>
  <w:style w:type="paragraph" w:styleId="FootnoteText">
    <w:name w:val="footnote text"/>
    <w:basedOn w:val="Normal"/>
    <w:link w:val="FootnoteTextChar"/>
    <w:semiHidden/>
    <w:rsid w:val="00620C38"/>
    <w:rPr>
      <w:sz w:val="16"/>
    </w:rPr>
  </w:style>
  <w:style w:type="character" w:customStyle="1" w:styleId="FootnoteTextChar">
    <w:name w:val="Footnote Text Char"/>
    <w:basedOn w:val="DefaultParagraphFont"/>
    <w:link w:val="FootnoteText"/>
    <w:semiHidden/>
    <w:rsid w:val="00620C38"/>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620C38"/>
    <w:pPr>
      <w:keepNext/>
      <w:spacing w:before="200"/>
    </w:pPr>
    <w:rPr>
      <w:b/>
      <w:sz w:val="22"/>
    </w:rPr>
  </w:style>
  <w:style w:type="paragraph" w:customStyle="1" w:styleId="GeneralHeading2">
    <w:name w:val="General Heading 2"/>
    <w:basedOn w:val="Normal"/>
    <w:next w:val="Normal"/>
    <w:qFormat/>
    <w:rsid w:val="00620C38"/>
    <w:pPr>
      <w:keepNext/>
      <w:spacing w:before="160"/>
    </w:pPr>
    <w:rPr>
      <w:b/>
      <w:sz w:val="21"/>
    </w:rPr>
  </w:style>
  <w:style w:type="paragraph" w:customStyle="1" w:styleId="GNBullet">
    <w:name w:val="GN Bullet"/>
    <w:basedOn w:val="Normal"/>
    <w:uiPriority w:val="1"/>
    <w:qFormat/>
    <w:rsid w:val="00620C38"/>
    <w:pPr>
      <w:numPr>
        <w:numId w:val="6"/>
      </w:numPr>
      <w:spacing w:line="240" w:lineRule="auto"/>
    </w:pPr>
    <w:rPr>
      <w:vanish/>
      <w:color w:val="000080"/>
    </w:rPr>
  </w:style>
  <w:style w:type="paragraph" w:customStyle="1" w:styleId="GNHeading">
    <w:name w:val="GN Heading"/>
    <w:basedOn w:val="Normal"/>
    <w:next w:val="GNNormalIndent"/>
    <w:uiPriority w:val="1"/>
    <w:qFormat/>
    <w:rsid w:val="00620C38"/>
    <w:pPr>
      <w:keepNext/>
      <w:numPr>
        <w:numId w:val="7"/>
      </w:numPr>
      <w:spacing w:before="200" w:line="240" w:lineRule="auto"/>
    </w:pPr>
    <w:rPr>
      <w:b/>
      <w:vanish/>
      <w:color w:val="000080"/>
    </w:rPr>
  </w:style>
  <w:style w:type="paragraph" w:customStyle="1" w:styleId="GNLevel1">
    <w:name w:val="GN Level 1"/>
    <w:basedOn w:val="Normal"/>
    <w:uiPriority w:val="1"/>
    <w:qFormat/>
    <w:rsid w:val="00620C38"/>
    <w:pPr>
      <w:numPr>
        <w:numId w:val="8"/>
      </w:numPr>
      <w:spacing w:line="240" w:lineRule="auto"/>
    </w:pPr>
    <w:rPr>
      <w:vanish/>
      <w:color w:val="000080"/>
    </w:rPr>
  </w:style>
  <w:style w:type="paragraph" w:customStyle="1" w:styleId="GNLevel2">
    <w:name w:val="GN Level 2"/>
    <w:basedOn w:val="Normal"/>
    <w:uiPriority w:val="1"/>
    <w:qFormat/>
    <w:rsid w:val="00620C38"/>
    <w:pPr>
      <w:numPr>
        <w:ilvl w:val="1"/>
        <w:numId w:val="8"/>
      </w:numPr>
      <w:spacing w:line="240" w:lineRule="auto"/>
    </w:pPr>
    <w:rPr>
      <w:vanish/>
      <w:color w:val="000080"/>
    </w:rPr>
  </w:style>
  <w:style w:type="paragraph" w:customStyle="1" w:styleId="GNLevel3">
    <w:name w:val="GN Level 3"/>
    <w:basedOn w:val="Normal"/>
    <w:uiPriority w:val="1"/>
    <w:qFormat/>
    <w:rsid w:val="00620C38"/>
    <w:pPr>
      <w:numPr>
        <w:ilvl w:val="2"/>
        <w:numId w:val="8"/>
      </w:numPr>
      <w:spacing w:line="240" w:lineRule="auto"/>
    </w:pPr>
    <w:rPr>
      <w:vanish/>
      <w:color w:val="000080"/>
    </w:rPr>
  </w:style>
  <w:style w:type="paragraph" w:customStyle="1" w:styleId="GNLevel4">
    <w:name w:val="GN Level 4"/>
    <w:basedOn w:val="Normal"/>
    <w:uiPriority w:val="1"/>
    <w:qFormat/>
    <w:rsid w:val="00620C38"/>
    <w:pPr>
      <w:numPr>
        <w:ilvl w:val="3"/>
        <w:numId w:val="8"/>
      </w:numPr>
      <w:spacing w:line="240" w:lineRule="auto"/>
    </w:pPr>
    <w:rPr>
      <w:vanish/>
      <w:color w:val="000080"/>
    </w:rPr>
  </w:style>
  <w:style w:type="paragraph" w:customStyle="1" w:styleId="GNNormal">
    <w:name w:val="GN Normal"/>
    <w:basedOn w:val="Normal"/>
    <w:uiPriority w:val="1"/>
    <w:qFormat/>
    <w:rsid w:val="00620C38"/>
    <w:pPr>
      <w:spacing w:line="240" w:lineRule="auto"/>
    </w:pPr>
    <w:rPr>
      <w:vanish/>
      <w:color w:val="000080"/>
    </w:rPr>
  </w:style>
  <w:style w:type="paragraph" w:customStyle="1" w:styleId="GNNormalIndent">
    <w:name w:val="GN Normal Indent"/>
    <w:basedOn w:val="GNNormal"/>
    <w:uiPriority w:val="1"/>
    <w:qFormat/>
    <w:rsid w:val="00620C38"/>
    <w:pPr>
      <w:ind w:left="709"/>
    </w:pPr>
  </w:style>
  <w:style w:type="paragraph" w:styleId="Header">
    <w:name w:val="header"/>
    <w:basedOn w:val="Normal"/>
    <w:link w:val="HeaderChar"/>
    <w:semiHidden/>
    <w:rsid w:val="00620C38"/>
    <w:pPr>
      <w:spacing w:before="0" w:line="240" w:lineRule="auto"/>
    </w:pPr>
    <w:rPr>
      <w:noProof/>
      <w:sz w:val="16"/>
    </w:rPr>
  </w:style>
  <w:style w:type="character" w:customStyle="1" w:styleId="HeaderChar">
    <w:name w:val="Header Char"/>
    <w:basedOn w:val="DefaultParagraphFont"/>
    <w:link w:val="Header"/>
    <w:semiHidden/>
    <w:rsid w:val="00620C38"/>
    <w:rPr>
      <w:rFonts w:ascii="Arial" w:eastAsia="Times New Roman" w:hAnsi="Arial" w:cs="Times New Roman"/>
      <w:noProof/>
      <w:sz w:val="16"/>
      <w:szCs w:val="20"/>
      <w:lang w:eastAsia="en-AU"/>
    </w:rPr>
  </w:style>
  <w:style w:type="paragraph" w:customStyle="1" w:styleId="HeaderTitle">
    <w:name w:val="Header Title"/>
    <w:basedOn w:val="Normal"/>
    <w:qFormat/>
    <w:rsid w:val="00620C38"/>
    <w:pPr>
      <w:spacing w:line="240" w:lineRule="auto"/>
    </w:pPr>
    <w:rPr>
      <w:noProof/>
    </w:rPr>
  </w:style>
  <w:style w:type="character" w:customStyle="1" w:styleId="Heading1Char">
    <w:name w:val="Heading 1 Char"/>
    <w:basedOn w:val="DefaultParagraphFont"/>
    <w:link w:val="Heading1"/>
    <w:rsid w:val="00620C38"/>
    <w:rPr>
      <w:rFonts w:ascii="Arial" w:eastAsia="Times New Roman" w:hAnsi="Arial" w:cs="Times New Roman"/>
      <w:sz w:val="20"/>
      <w:szCs w:val="20"/>
      <w:lang w:eastAsia="en-AU"/>
    </w:rPr>
  </w:style>
  <w:style w:type="character" w:customStyle="1" w:styleId="Heading2Char">
    <w:name w:val="Heading 2 Char"/>
    <w:basedOn w:val="DefaultParagraphFont"/>
    <w:link w:val="Heading2"/>
    <w:semiHidden/>
    <w:rsid w:val="00620C38"/>
    <w:rPr>
      <w:rFonts w:ascii="Arial" w:eastAsia="Times New Roman" w:hAnsi="Arial" w:cs="Times New Roman"/>
      <w:sz w:val="20"/>
      <w:szCs w:val="20"/>
      <w:lang w:eastAsia="en-AU"/>
    </w:rPr>
  </w:style>
  <w:style w:type="character" w:customStyle="1" w:styleId="Heading3Char">
    <w:name w:val="Heading 3 Char"/>
    <w:basedOn w:val="DefaultParagraphFont"/>
    <w:link w:val="Heading3"/>
    <w:semiHidden/>
    <w:rsid w:val="00620C38"/>
    <w:rPr>
      <w:rFonts w:ascii="Arial" w:eastAsia="Times New Roman" w:hAnsi="Arial" w:cs="Times New Roman"/>
      <w:sz w:val="20"/>
      <w:szCs w:val="20"/>
      <w:lang w:eastAsia="en-AU"/>
    </w:rPr>
  </w:style>
  <w:style w:type="character" w:customStyle="1" w:styleId="Heading4Char">
    <w:name w:val="Heading 4 Char"/>
    <w:basedOn w:val="DefaultParagraphFont"/>
    <w:link w:val="Heading4"/>
    <w:semiHidden/>
    <w:rsid w:val="00620C38"/>
    <w:rPr>
      <w:rFonts w:ascii="Arial" w:eastAsia="Times New Roman" w:hAnsi="Arial" w:cs="Times New Roman"/>
      <w:sz w:val="20"/>
      <w:szCs w:val="20"/>
      <w:lang w:eastAsia="en-AU"/>
    </w:rPr>
  </w:style>
  <w:style w:type="character" w:customStyle="1" w:styleId="Heading5Char">
    <w:name w:val="Heading 5 Char"/>
    <w:basedOn w:val="DefaultParagraphFont"/>
    <w:link w:val="Heading5"/>
    <w:semiHidden/>
    <w:rsid w:val="00620C38"/>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620C38"/>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620C38"/>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620C38"/>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620C38"/>
    <w:rPr>
      <w:rFonts w:ascii="Arial" w:eastAsia="Times New Roman" w:hAnsi="Arial" w:cs="Times New Roman"/>
      <w:sz w:val="20"/>
      <w:szCs w:val="20"/>
      <w:lang w:eastAsia="en-AU"/>
    </w:rPr>
  </w:style>
  <w:style w:type="character" w:styleId="Hyperlink">
    <w:name w:val="Hyperlink"/>
    <w:uiPriority w:val="99"/>
    <w:rsid w:val="00F37349"/>
    <w:rPr>
      <w:color w:val="0000FF"/>
      <w:u w:val="single"/>
    </w:rPr>
  </w:style>
  <w:style w:type="paragraph" w:customStyle="1" w:styleId="level1">
    <w:name w:val="level1"/>
    <w:basedOn w:val="Normal"/>
    <w:qFormat/>
    <w:rsid w:val="00620C38"/>
    <w:pPr>
      <w:numPr>
        <w:numId w:val="9"/>
      </w:numPr>
    </w:pPr>
  </w:style>
  <w:style w:type="paragraph" w:customStyle="1" w:styleId="level2">
    <w:name w:val="level2"/>
    <w:basedOn w:val="Normal"/>
    <w:qFormat/>
    <w:rsid w:val="00620C38"/>
    <w:pPr>
      <w:numPr>
        <w:ilvl w:val="1"/>
        <w:numId w:val="9"/>
      </w:numPr>
    </w:pPr>
  </w:style>
  <w:style w:type="paragraph" w:customStyle="1" w:styleId="level3">
    <w:name w:val="level3"/>
    <w:basedOn w:val="Normal"/>
    <w:qFormat/>
    <w:rsid w:val="00620C38"/>
    <w:pPr>
      <w:numPr>
        <w:ilvl w:val="2"/>
        <w:numId w:val="9"/>
      </w:numPr>
    </w:pPr>
  </w:style>
  <w:style w:type="paragraph" w:customStyle="1" w:styleId="level4">
    <w:name w:val="level4"/>
    <w:basedOn w:val="Normal"/>
    <w:qFormat/>
    <w:rsid w:val="00620C38"/>
    <w:pPr>
      <w:numPr>
        <w:ilvl w:val="3"/>
        <w:numId w:val="9"/>
      </w:numPr>
    </w:pPr>
  </w:style>
  <w:style w:type="paragraph" w:customStyle="1" w:styleId="level5">
    <w:name w:val="level5"/>
    <w:basedOn w:val="Normal"/>
    <w:qFormat/>
    <w:rsid w:val="00620C38"/>
    <w:pPr>
      <w:numPr>
        <w:ilvl w:val="4"/>
        <w:numId w:val="9"/>
      </w:numPr>
    </w:pPr>
  </w:style>
  <w:style w:type="paragraph" w:customStyle="1" w:styleId="level6">
    <w:name w:val="level6"/>
    <w:basedOn w:val="Normal"/>
    <w:qFormat/>
    <w:rsid w:val="00620C38"/>
    <w:pPr>
      <w:numPr>
        <w:ilvl w:val="5"/>
        <w:numId w:val="9"/>
      </w:numPr>
    </w:pPr>
  </w:style>
  <w:style w:type="character" w:styleId="PageNumber">
    <w:name w:val="page number"/>
    <w:semiHidden/>
    <w:qFormat/>
    <w:rsid w:val="00620C38"/>
    <w:rPr>
      <w:sz w:val="16"/>
    </w:rPr>
  </w:style>
  <w:style w:type="paragraph" w:customStyle="1" w:styleId="Schedule">
    <w:name w:val="Schedule"/>
    <w:basedOn w:val="Normal"/>
    <w:next w:val="ScheduleHeading"/>
    <w:qFormat/>
    <w:rsid w:val="00620C38"/>
    <w:pPr>
      <w:keepNext/>
      <w:numPr>
        <w:numId w:val="10"/>
      </w:numPr>
      <w:spacing w:before="200"/>
      <w:outlineLvl w:val="0"/>
    </w:pPr>
    <w:rPr>
      <w:b/>
      <w:sz w:val="22"/>
    </w:rPr>
  </w:style>
  <w:style w:type="paragraph" w:customStyle="1" w:styleId="Schedule1">
    <w:name w:val="Schedule 1"/>
    <w:basedOn w:val="Normal"/>
    <w:next w:val="Schedule2"/>
    <w:qFormat/>
    <w:rsid w:val="00620C38"/>
    <w:pPr>
      <w:keepNext/>
      <w:numPr>
        <w:ilvl w:val="2"/>
        <w:numId w:val="10"/>
      </w:numPr>
      <w:spacing w:before="200"/>
    </w:pPr>
    <w:rPr>
      <w:b/>
      <w:sz w:val="22"/>
    </w:rPr>
  </w:style>
  <w:style w:type="paragraph" w:customStyle="1" w:styleId="Schedule2">
    <w:name w:val="Schedule 2"/>
    <w:basedOn w:val="Normal"/>
    <w:next w:val="NormalIndent"/>
    <w:qFormat/>
    <w:rsid w:val="00620C38"/>
    <w:pPr>
      <w:keepNext/>
      <w:numPr>
        <w:ilvl w:val="3"/>
        <w:numId w:val="10"/>
      </w:numPr>
      <w:spacing w:before="160"/>
    </w:pPr>
    <w:rPr>
      <w:b/>
      <w:sz w:val="21"/>
    </w:rPr>
  </w:style>
  <w:style w:type="paragraph" w:customStyle="1" w:styleId="Schedule3">
    <w:name w:val="Schedule 3"/>
    <w:basedOn w:val="Normal"/>
    <w:qFormat/>
    <w:rsid w:val="00620C38"/>
    <w:pPr>
      <w:numPr>
        <w:ilvl w:val="4"/>
        <w:numId w:val="10"/>
      </w:numPr>
    </w:pPr>
  </w:style>
  <w:style w:type="paragraph" w:customStyle="1" w:styleId="Schedule4">
    <w:name w:val="Schedule 4"/>
    <w:basedOn w:val="Normal"/>
    <w:qFormat/>
    <w:rsid w:val="00620C38"/>
    <w:pPr>
      <w:numPr>
        <w:ilvl w:val="5"/>
        <w:numId w:val="10"/>
      </w:numPr>
    </w:pPr>
  </w:style>
  <w:style w:type="paragraph" w:customStyle="1" w:styleId="Schedule5">
    <w:name w:val="Schedule 5"/>
    <w:basedOn w:val="Normal"/>
    <w:qFormat/>
    <w:rsid w:val="00620C38"/>
    <w:pPr>
      <w:numPr>
        <w:ilvl w:val="6"/>
        <w:numId w:val="10"/>
      </w:numPr>
    </w:pPr>
  </w:style>
  <w:style w:type="paragraph" w:customStyle="1" w:styleId="Schedule6">
    <w:name w:val="Schedule 6"/>
    <w:basedOn w:val="Normal"/>
    <w:qFormat/>
    <w:rsid w:val="00620C38"/>
    <w:pPr>
      <w:numPr>
        <w:ilvl w:val="7"/>
        <w:numId w:val="10"/>
      </w:numPr>
    </w:pPr>
  </w:style>
  <w:style w:type="paragraph" w:customStyle="1" w:styleId="ScheduleHeading">
    <w:name w:val="Schedule Heading"/>
    <w:basedOn w:val="Normal"/>
    <w:next w:val="Schedule1"/>
    <w:qFormat/>
    <w:rsid w:val="00620C38"/>
    <w:pPr>
      <w:keepNext/>
      <w:numPr>
        <w:ilvl w:val="1"/>
        <w:numId w:val="10"/>
      </w:numPr>
      <w:spacing w:before="160"/>
      <w:outlineLvl w:val="1"/>
    </w:pPr>
    <w:rPr>
      <w:b/>
      <w:sz w:val="22"/>
    </w:rPr>
  </w:style>
  <w:style w:type="table" w:styleId="TableGrid">
    <w:name w:val="Table Grid"/>
    <w:basedOn w:val="TableNormal"/>
    <w:rsid w:val="00620C38"/>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20C38"/>
    <w:pPr>
      <w:keepNext/>
      <w:spacing w:before="0" w:after="60"/>
    </w:pPr>
    <w:rPr>
      <w:sz w:val="32"/>
    </w:rPr>
  </w:style>
  <w:style w:type="character" w:customStyle="1" w:styleId="TitleChar">
    <w:name w:val="Title Char"/>
    <w:basedOn w:val="DefaultParagraphFont"/>
    <w:link w:val="Title"/>
    <w:rsid w:val="00620C38"/>
    <w:rPr>
      <w:rFonts w:ascii="Arial" w:eastAsia="Times New Roman" w:hAnsi="Arial" w:cs="Times New Roman"/>
      <w:sz w:val="32"/>
      <w:szCs w:val="20"/>
      <w:lang w:eastAsia="en-AU"/>
    </w:rPr>
  </w:style>
  <w:style w:type="paragraph" w:styleId="TOC1">
    <w:name w:val="toc 1"/>
    <w:basedOn w:val="Normal"/>
    <w:next w:val="TOC2"/>
    <w:autoRedefine/>
    <w:uiPriority w:val="39"/>
    <w:qFormat/>
    <w:rsid w:val="00620C38"/>
    <w:pPr>
      <w:tabs>
        <w:tab w:val="right" w:pos="9356"/>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620C38"/>
    <w:pPr>
      <w:tabs>
        <w:tab w:val="left" w:pos="709"/>
        <w:tab w:val="right" w:pos="9356"/>
      </w:tabs>
      <w:spacing w:before="60" w:line="240" w:lineRule="auto"/>
      <w:ind w:left="1418" w:hanging="709"/>
    </w:pPr>
    <w:rPr>
      <w:noProof/>
      <w:lang w:eastAsia="en-US"/>
    </w:rPr>
  </w:style>
  <w:style w:type="paragraph" w:styleId="TOC3">
    <w:name w:val="toc 3"/>
    <w:basedOn w:val="Normal"/>
    <w:autoRedefine/>
    <w:semiHidden/>
    <w:rsid w:val="00620C38"/>
    <w:pPr>
      <w:spacing w:before="60" w:line="240" w:lineRule="auto"/>
      <w:ind w:left="709"/>
    </w:pPr>
    <w:rPr>
      <w:noProof/>
      <w:lang w:eastAsia="en-US"/>
    </w:rPr>
  </w:style>
  <w:style w:type="paragraph" w:styleId="TOC4">
    <w:name w:val="toc 4"/>
    <w:basedOn w:val="Normal"/>
    <w:next w:val="Normal"/>
    <w:autoRedefine/>
    <w:semiHidden/>
    <w:rsid w:val="00620C38"/>
    <w:pPr>
      <w:tabs>
        <w:tab w:val="right" w:pos="7938"/>
      </w:tabs>
      <w:spacing w:before="60" w:line="240" w:lineRule="auto"/>
      <w:ind w:left="2835" w:hanging="709"/>
    </w:pPr>
    <w:rPr>
      <w:noProof/>
      <w:lang w:eastAsia="en-US"/>
    </w:rPr>
  </w:style>
  <w:style w:type="paragraph" w:styleId="TOC5">
    <w:name w:val="toc 5"/>
    <w:basedOn w:val="Normal"/>
    <w:next w:val="Normal"/>
    <w:autoRedefine/>
    <w:semiHidden/>
    <w:rsid w:val="00620C38"/>
    <w:pPr>
      <w:ind w:left="3544" w:hanging="709"/>
    </w:pPr>
    <w:rPr>
      <w:lang w:eastAsia="en-US"/>
    </w:rPr>
  </w:style>
  <w:style w:type="paragraph" w:styleId="TOC6">
    <w:name w:val="toc 6"/>
    <w:basedOn w:val="Normal"/>
    <w:next w:val="Normal"/>
    <w:autoRedefine/>
    <w:semiHidden/>
    <w:rsid w:val="00620C38"/>
    <w:pPr>
      <w:ind w:left="4253" w:hanging="709"/>
    </w:pPr>
    <w:rPr>
      <w:lang w:eastAsia="en-US"/>
    </w:rPr>
  </w:style>
  <w:style w:type="paragraph" w:styleId="TOC7">
    <w:name w:val="toc 7"/>
    <w:basedOn w:val="Normal"/>
    <w:next w:val="Normal"/>
    <w:autoRedefine/>
    <w:semiHidden/>
    <w:rsid w:val="00620C38"/>
    <w:pPr>
      <w:ind w:left="1200"/>
    </w:pPr>
    <w:rPr>
      <w:lang w:eastAsia="en-US"/>
    </w:rPr>
  </w:style>
  <w:style w:type="paragraph" w:styleId="TOC8">
    <w:name w:val="toc 8"/>
    <w:basedOn w:val="Normal"/>
    <w:next w:val="Normal"/>
    <w:autoRedefine/>
    <w:semiHidden/>
    <w:rsid w:val="00620C38"/>
    <w:pPr>
      <w:ind w:left="1400"/>
    </w:pPr>
    <w:rPr>
      <w:lang w:eastAsia="en-US"/>
    </w:rPr>
  </w:style>
  <w:style w:type="paragraph" w:styleId="TOC9">
    <w:name w:val="toc 9"/>
    <w:basedOn w:val="Normal"/>
    <w:next w:val="Normal"/>
    <w:autoRedefine/>
    <w:semiHidden/>
    <w:rsid w:val="00620C38"/>
    <w:pPr>
      <w:ind w:left="1600"/>
    </w:pPr>
    <w:rPr>
      <w:lang w:eastAsia="en-US"/>
    </w:rPr>
  </w:style>
  <w:style w:type="table" w:customStyle="1" w:styleId="TableGrid1">
    <w:name w:val="Table Grid1"/>
    <w:basedOn w:val="TableNormal"/>
    <w:next w:val="TableGrid"/>
    <w:rsid w:val="001636E1"/>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636E1"/>
  </w:style>
  <w:style w:type="paragraph" w:styleId="ListParagraph">
    <w:name w:val="List Paragraph"/>
    <w:basedOn w:val="Normal"/>
    <w:uiPriority w:val="34"/>
    <w:semiHidden/>
    <w:qFormat/>
    <w:rsid w:val="00D37D0D"/>
    <w:pPr>
      <w:ind w:left="720"/>
      <w:contextualSpacing/>
    </w:pPr>
  </w:style>
  <w:style w:type="character" w:styleId="CommentReference">
    <w:name w:val="annotation reference"/>
    <w:basedOn w:val="DefaultParagraphFont"/>
    <w:uiPriority w:val="99"/>
    <w:semiHidden/>
    <w:unhideWhenUsed/>
    <w:rsid w:val="0009598C"/>
    <w:rPr>
      <w:sz w:val="16"/>
      <w:szCs w:val="16"/>
    </w:rPr>
  </w:style>
  <w:style w:type="paragraph" w:styleId="CommentText">
    <w:name w:val="annotation text"/>
    <w:basedOn w:val="Normal"/>
    <w:link w:val="CommentTextChar"/>
    <w:uiPriority w:val="99"/>
    <w:semiHidden/>
    <w:unhideWhenUsed/>
    <w:rsid w:val="0009598C"/>
    <w:pPr>
      <w:spacing w:line="240" w:lineRule="auto"/>
    </w:pPr>
  </w:style>
  <w:style w:type="character" w:customStyle="1" w:styleId="CommentTextChar">
    <w:name w:val="Comment Text Char"/>
    <w:basedOn w:val="DefaultParagraphFont"/>
    <w:link w:val="CommentText"/>
    <w:uiPriority w:val="99"/>
    <w:semiHidden/>
    <w:rsid w:val="0009598C"/>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9598C"/>
    <w:rPr>
      <w:b/>
      <w:bCs/>
    </w:rPr>
  </w:style>
  <w:style w:type="character" w:customStyle="1" w:styleId="CommentSubjectChar">
    <w:name w:val="Comment Subject Char"/>
    <w:basedOn w:val="CommentTextChar"/>
    <w:link w:val="CommentSubject"/>
    <w:uiPriority w:val="99"/>
    <w:semiHidden/>
    <w:rsid w:val="0009598C"/>
    <w:rPr>
      <w:rFonts w:ascii="Arial" w:eastAsia="Times New Roman" w:hAnsi="Arial" w:cs="Times New Roman"/>
      <w:b/>
      <w:bCs/>
      <w:sz w:val="20"/>
      <w:szCs w:val="20"/>
      <w:lang w:eastAsia="en-AU"/>
    </w:rPr>
  </w:style>
  <w:style w:type="paragraph" w:styleId="Revision">
    <w:name w:val="Revision"/>
    <w:hidden/>
    <w:uiPriority w:val="99"/>
    <w:semiHidden/>
    <w:rsid w:val="0009598C"/>
    <w:pPr>
      <w:spacing w:after="0" w:line="240" w:lineRule="auto"/>
    </w:pPr>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FC0D13"/>
    <w:rPr>
      <w:vertAlign w:val="superscript"/>
    </w:rPr>
  </w:style>
  <w:style w:type="character" w:styleId="FollowedHyperlink">
    <w:name w:val="FollowedHyperlink"/>
    <w:basedOn w:val="DefaultParagraphFont"/>
    <w:uiPriority w:val="99"/>
    <w:semiHidden/>
    <w:unhideWhenUsed/>
    <w:rsid w:val="00FC0D13"/>
    <w:rPr>
      <w:color w:val="800080" w:themeColor="followedHyperlink"/>
      <w:u w:val="single"/>
    </w:rPr>
  </w:style>
  <w:style w:type="paragraph" w:styleId="Caption">
    <w:name w:val="caption"/>
    <w:basedOn w:val="Normal"/>
    <w:next w:val="Normal"/>
    <w:uiPriority w:val="35"/>
    <w:unhideWhenUsed/>
    <w:qFormat/>
    <w:rsid w:val="00FC0D13"/>
    <w:pPr>
      <w:spacing w:before="0" w:after="200" w:line="240" w:lineRule="auto"/>
    </w:pPr>
    <w:rPr>
      <w:b/>
      <w:bCs/>
      <w:color w:val="4F81BD" w:themeColor="accent1"/>
      <w:sz w:val="18"/>
      <w:szCs w:val="18"/>
    </w:rPr>
  </w:style>
  <w:style w:type="table" w:styleId="LightShading-Accent1">
    <w:name w:val="Light Shading Accent 1"/>
    <w:basedOn w:val="TableNormal"/>
    <w:uiPriority w:val="60"/>
    <w:rsid w:val="00FC0D1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header" w:uiPriority="0"/>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uiPriority="11" w:unhideWhenUsed="0" w:qFormat="1"/>
    <w:lsdException w:name="Strong" w:uiPriority="22" w:unhideWhenUsed="0" w:qFormat="1"/>
    <w:lsdException w:name="Emphasis"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7349"/>
    <w:pPr>
      <w:spacing w:before="100" w:after="0" w:line="288" w:lineRule="auto"/>
    </w:pPr>
    <w:rPr>
      <w:rFonts w:ascii="Arial" w:eastAsia="Times New Roman" w:hAnsi="Arial" w:cs="Times New Roman"/>
      <w:sz w:val="20"/>
      <w:szCs w:val="20"/>
      <w:lang w:eastAsia="en-AU"/>
    </w:rPr>
  </w:style>
  <w:style w:type="paragraph" w:styleId="Heading1">
    <w:name w:val="heading 1"/>
    <w:basedOn w:val="Normal"/>
    <w:next w:val="Normal"/>
    <w:link w:val="Heading1Char"/>
    <w:rsid w:val="00620C38"/>
    <w:pPr>
      <w:outlineLvl w:val="0"/>
    </w:pPr>
  </w:style>
  <w:style w:type="paragraph" w:styleId="Heading2">
    <w:name w:val="heading 2"/>
    <w:basedOn w:val="Normal"/>
    <w:next w:val="NormalIndent"/>
    <w:link w:val="Heading2Char"/>
    <w:semiHidden/>
    <w:rsid w:val="00620C38"/>
    <w:pPr>
      <w:outlineLvl w:val="1"/>
    </w:pPr>
  </w:style>
  <w:style w:type="paragraph" w:styleId="Heading3">
    <w:name w:val="heading 3"/>
    <w:basedOn w:val="Normal"/>
    <w:link w:val="Heading3Char"/>
    <w:semiHidden/>
    <w:rsid w:val="00620C38"/>
    <w:pPr>
      <w:outlineLvl w:val="2"/>
    </w:pPr>
  </w:style>
  <w:style w:type="paragraph" w:styleId="Heading4">
    <w:name w:val="heading 4"/>
    <w:basedOn w:val="Normal"/>
    <w:link w:val="Heading4Char"/>
    <w:semiHidden/>
    <w:rsid w:val="00620C38"/>
    <w:pPr>
      <w:outlineLvl w:val="3"/>
    </w:pPr>
  </w:style>
  <w:style w:type="paragraph" w:styleId="Heading5">
    <w:name w:val="heading 5"/>
    <w:basedOn w:val="Normal"/>
    <w:link w:val="Heading5Char"/>
    <w:semiHidden/>
    <w:rsid w:val="00620C38"/>
    <w:pPr>
      <w:outlineLvl w:val="4"/>
    </w:pPr>
  </w:style>
  <w:style w:type="paragraph" w:styleId="Heading6">
    <w:name w:val="heading 6"/>
    <w:basedOn w:val="Normal"/>
    <w:link w:val="Heading6Char"/>
    <w:semiHidden/>
    <w:rsid w:val="00620C38"/>
    <w:pPr>
      <w:outlineLvl w:val="5"/>
    </w:pPr>
  </w:style>
  <w:style w:type="paragraph" w:styleId="Heading7">
    <w:name w:val="heading 7"/>
    <w:basedOn w:val="Normal"/>
    <w:next w:val="Normal"/>
    <w:link w:val="Heading7Char"/>
    <w:semiHidden/>
    <w:rsid w:val="00620C38"/>
    <w:pPr>
      <w:outlineLvl w:val="6"/>
    </w:pPr>
  </w:style>
  <w:style w:type="paragraph" w:styleId="Heading8">
    <w:name w:val="heading 8"/>
    <w:basedOn w:val="Normal"/>
    <w:next w:val="Normal"/>
    <w:link w:val="Heading8Char"/>
    <w:semiHidden/>
    <w:rsid w:val="00620C38"/>
    <w:pPr>
      <w:outlineLvl w:val="7"/>
    </w:pPr>
  </w:style>
  <w:style w:type="paragraph" w:styleId="Heading9">
    <w:name w:val="heading 9"/>
    <w:basedOn w:val="Normal"/>
    <w:next w:val="Normal"/>
    <w:link w:val="Heading9Char"/>
    <w:semiHidden/>
    <w:rsid w:val="00620C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ensHeading1">
    <w:name w:val="Allens Heading 1"/>
    <w:basedOn w:val="Normal"/>
    <w:next w:val="AllensHeading2"/>
    <w:qFormat/>
    <w:rsid w:val="00620C38"/>
    <w:pPr>
      <w:keepNext/>
      <w:numPr>
        <w:numId w:val="1"/>
      </w:numPr>
      <w:spacing w:before="200"/>
      <w:outlineLvl w:val="0"/>
    </w:pPr>
    <w:rPr>
      <w:b/>
      <w:sz w:val="22"/>
    </w:rPr>
  </w:style>
  <w:style w:type="paragraph" w:customStyle="1" w:styleId="AllensHeading2">
    <w:name w:val="Allens Heading 2"/>
    <w:basedOn w:val="Normal"/>
    <w:next w:val="NormalIndent"/>
    <w:qFormat/>
    <w:rsid w:val="00620C38"/>
    <w:pPr>
      <w:keepNext/>
      <w:numPr>
        <w:ilvl w:val="1"/>
        <w:numId w:val="1"/>
      </w:numPr>
      <w:spacing w:before="160"/>
      <w:outlineLvl w:val="1"/>
    </w:pPr>
    <w:rPr>
      <w:b/>
      <w:sz w:val="21"/>
    </w:rPr>
  </w:style>
  <w:style w:type="paragraph" w:styleId="NormalIndent">
    <w:name w:val="Normal Indent"/>
    <w:basedOn w:val="Normal"/>
    <w:qFormat/>
    <w:rsid w:val="00620C38"/>
    <w:pPr>
      <w:ind w:left="709"/>
    </w:pPr>
  </w:style>
  <w:style w:type="paragraph" w:customStyle="1" w:styleId="AllensHeading3">
    <w:name w:val="Allens Heading 3"/>
    <w:basedOn w:val="Normal"/>
    <w:qFormat/>
    <w:rsid w:val="00620C38"/>
    <w:pPr>
      <w:numPr>
        <w:ilvl w:val="2"/>
        <w:numId w:val="1"/>
      </w:numPr>
    </w:pPr>
  </w:style>
  <w:style w:type="paragraph" w:customStyle="1" w:styleId="AllensHeading4">
    <w:name w:val="Allens Heading 4"/>
    <w:basedOn w:val="Normal"/>
    <w:qFormat/>
    <w:rsid w:val="00620C38"/>
    <w:pPr>
      <w:numPr>
        <w:ilvl w:val="3"/>
        <w:numId w:val="1"/>
      </w:numPr>
    </w:pPr>
  </w:style>
  <w:style w:type="paragraph" w:customStyle="1" w:styleId="AllensHeading5">
    <w:name w:val="Allens Heading 5"/>
    <w:basedOn w:val="Normal"/>
    <w:qFormat/>
    <w:rsid w:val="00620C38"/>
    <w:pPr>
      <w:numPr>
        <w:ilvl w:val="4"/>
        <w:numId w:val="1"/>
      </w:numPr>
    </w:pPr>
  </w:style>
  <w:style w:type="paragraph" w:customStyle="1" w:styleId="AllensHeading6">
    <w:name w:val="Allens Heading 6"/>
    <w:basedOn w:val="Normal"/>
    <w:qFormat/>
    <w:rsid w:val="00620C38"/>
    <w:pPr>
      <w:numPr>
        <w:ilvl w:val="5"/>
        <w:numId w:val="1"/>
      </w:numPr>
    </w:pPr>
  </w:style>
  <w:style w:type="character" w:customStyle="1" w:styleId="AuthorNote">
    <w:name w:val="Author Note"/>
    <w:aliases w:val="AN"/>
    <w:uiPriority w:val="1"/>
    <w:qFormat/>
    <w:rsid w:val="00620C38"/>
    <w:rPr>
      <w:rFonts w:ascii="Arial" w:hAnsi="Arial"/>
      <w:b/>
      <w:vanish/>
      <w:color w:val="0074BF"/>
      <w:sz w:val="20"/>
    </w:rPr>
  </w:style>
  <w:style w:type="paragraph" w:styleId="BalloonText">
    <w:name w:val="Balloon Text"/>
    <w:basedOn w:val="Normal"/>
    <w:link w:val="BalloonTextChar"/>
    <w:semiHidden/>
    <w:rsid w:val="00620C3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20C38"/>
    <w:rPr>
      <w:rFonts w:ascii="Tahoma" w:eastAsia="Times New Roman" w:hAnsi="Tahoma" w:cs="Tahoma"/>
      <w:sz w:val="16"/>
      <w:szCs w:val="16"/>
      <w:lang w:eastAsia="en-AU"/>
    </w:rPr>
  </w:style>
  <w:style w:type="paragraph" w:styleId="BodyText">
    <w:name w:val="Body Text"/>
    <w:basedOn w:val="Normal"/>
    <w:link w:val="BodyTextChar"/>
    <w:qFormat/>
    <w:rsid w:val="00620C38"/>
    <w:pPr>
      <w:spacing w:before="0" w:line="240" w:lineRule="auto"/>
    </w:pPr>
  </w:style>
  <w:style w:type="character" w:customStyle="1" w:styleId="BodyTextChar">
    <w:name w:val="Body Text Char"/>
    <w:basedOn w:val="DefaultParagraphFont"/>
    <w:link w:val="BodyText"/>
    <w:rsid w:val="00620C38"/>
    <w:rPr>
      <w:rFonts w:ascii="Arial" w:eastAsia="Times New Roman" w:hAnsi="Arial" w:cs="Times New Roman"/>
      <w:sz w:val="20"/>
      <w:szCs w:val="20"/>
      <w:lang w:eastAsia="en-AU"/>
    </w:rPr>
  </w:style>
  <w:style w:type="paragraph" w:styleId="BodyTextIndent">
    <w:name w:val="Body Text Indent"/>
    <w:basedOn w:val="BodyText"/>
    <w:link w:val="BodyTextIndentChar"/>
    <w:qFormat/>
    <w:rsid w:val="00620C38"/>
    <w:pPr>
      <w:ind w:left="709"/>
    </w:pPr>
  </w:style>
  <w:style w:type="character" w:customStyle="1" w:styleId="BodyTextIndentChar">
    <w:name w:val="Body Text Indent Char"/>
    <w:basedOn w:val="DefaultParagraphFont"/>
    <w:link w:val="BodyTextIndent"/>
    <w:rsid w:val="00620C38"/>
    <w:rPr>
      <w:rFonts w:ascii="Arial" w:eastAsia="Times New Roman" w:hAnsi="Arial" w:cs="Times New Roman"/>
      <w:sz w:val="20"/>
      <w:szCs w:val="20"/>
      <w:lang w:eastAsia="en-AU"/>
    </w:rPr>
  </w:style>
  <w:style w:type="paragraph" w:customStyle="1" w:styleId="Bullet1">
    <w:name w:val="Bullet 1"/>
    <w:basedOn w:val="Normal"/>
    <w:qFormat/>
    <w:rsid w:val="00620C38"/>
    <w:pPr>
      <w:numPr>
        <w:numId w:val="2"/>
      </w:numPr>
    </w:pPr>
  </w:style>
  <w:style w:type="paragraph" w:customStyle="1" w:styleId="Bullet2">
    <w:name w:val="Bullet 2"/>
    <w:basedOn w:val="Normal"/>
    <w:qFormat/>
    <w:rsid w:val="00620C38"/>
    <w:pPr>
      <w:numPr>
        <w:numId w:val="3"/>
      </w:numPr>
    </w:pPr>
  </w:style>
  <w:style w:type="paragraph" w:customStyle="1" w:styleId="Bullet3">
    <w:name w:val="Bullet 3"/>
    <w:basedOn w:val="Normal"/>
    <w:qFormat/>
    <w:rsid w:val="00620C38"/>
    <w:pPr>
      <w:numPr>
        <w:numId w:val="4"/>
      </w:numPr>
    </w:pPr>
  </w:style>
  <w:style w:type="paragraph" w:customStyle="1" w:styleId="ContentsHeading">
    <w:name w:val="Contents Heading"/>
    <w:basedOn w:val="Normal"/>
    <w:next w:val="Normal"/>
    <w:qFormat/>
    <w:rsid w:val="00620C38"/>
    <w:pPr>
      <w:spacing w:before="0"/>
    </w:pPr>
    <w:rPr>
      <w:b/>
      <w:sz w:val="22"/>
    </w:rPr>
  </w:style>
  <w:style w:type="paragraph" w:customStyle="1" w:styleId="Definitions">
    <w:name w:val="Definitions"/>
    <w:basedOn w:val="NormalIndent"/>
    <w:qFormat/>
    <w:rsid w:val="00620C38"/>
    <w:pPr>
      <w:numPr>
        <w:numId w:val="5"/>
      </w:numPr>
    </w:pPr>
  </w:style>
  <w:style w:type="paragraph" w:customStyle="1" w:styleId="Definitionsa">
    <w:name w:val="Definitions (a)"/>
    <w:basedOn w:val="Normal"/>
    <w:qFormat/>
    <w:rsid w:val="00620C38"/>
    <w:pPr>
      <w:numPr>
        <w:ilvl w:val="1"/>
        <w:numId w:val="5"/>
      </w:numPr>
    </w:pPr>
  </w:style>
  <w:style w:type="paragraph" w:customStyle="1" w:styleId="Definitionsi">
    <w:name w:val="Definitions (i)"/>
    <w:basedOn w:val="Normal"/>
    <w:qFormat/>
    <w:rsid w:val="00620C38"/>
    <w:pPr>
      <w:numPr>
        <w:ilvl w:val="2"/>
        <w:numId w:val="5"/>
      </w:numPr>
    </w:pPr>
  </w:style>
  <w:style w:type="paragraph" w:styleId="Footer">
    <w:name w:val="footer"/>
    <w:basedOn w:val="Normal"/>
    <w:link w:val="FooterChar"/>
    <w:qFormat/>
    <w:rsid w:val="00620C38"/>
    <w:pPr>
      <w:spacing w:before="40" w:line="240" w:lineRule="auto"/>
    </w:pPr>
    <w:rPr>
      <w:noProof/>
      <w:sz w:val="16"/>
    </w:rPr>
  </w:style>
  <w:style w:type="character" w:customStyle="1" w:styleId="FooterChar">
    <w:name w:val="Footer Char"/>
    <w:basedOn w:val="DefaultParagraphFont"/>
    <w:link w:val="Footer"/>
    <w:rsid w:val="00620C38"/>
    <w:rPr>
      <w:rFonts w:ascii="Arial" w:eastAsia="Times New Roman" w:hAnsi="Arial" w:cs="Times New Roman"/>
      <w:noProof/>
      <w:sz w:val="16"/>
      <w:szCs w:val="20"/>
      <w:lang w:eastAsia="en-AU"/>
    </w:rPr>
  </w:style>
  <w:style w:type="paragraph" w:styleId="FootnoteText">
    <w:name w:val="footnote text"/>
    <w:basedOn w:val="Normal"/>
    <w:link w:val="FootnoteTextChar"/>
    <w:semiHidden/>
    <w:rsid w:val="00620C38"/>
    <w:rPr>
      <w:sz w:val="16"/>
    </w:rPr>
  </w:style>
  <w:style w:type="character" w:customStyle="1" w:styleId="FootnoteTextChar">
    <w:name w:val="Footnote Text Char"/>
    <w:basedOn w:val="DefaultParagraphFont"/>
    <w:link w:val="FootnoteText"/>
    <w:semiHidden/>
    <w:rsid w:val="00620C38"/>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620C38"/>
    <w:pPr>
      <w:keepNext/>
      <w:spacing w:before="200"/>
    </w:pPr>
    <w:rPr>
      <w:b/>
      <w:sz w:val="22"/>
    </w:rPr>
  </w:style>
  <w:style w:type="paragraph" w:customStyle="1" w:styleId="GeneralHeading2">
    <w:name w:val="General Heading 2"/>
    <w:basedOn w:val="Normal"/>
    <w:next w:val="Normal"/>
    <w:qFormat/>
    <w:rsid w:val="00620C38"/>
    <w:pPr>
      <w:keepNext/>
      <w:spacing w:before="160"/>
    </w:pPr>
    <w:rPr>
      <w:b/>
      <w:sz w:val="21"/>
    </w:rPr>
  </w:style>
  <w:style w:type="paragraph" w:customStyle="1" w:styleId="GNBullet">
    <w:name w:val="GN Bullet"/>
    <w:basedOn w:val="Normal"/>
    <w:uiPriority w:val="1"/>
    <w:qFormat/>
    <w:rsid w:val="00620C38"/>
    <w:pPr>
      <w:numPr>
        <w:numId w:val="6"/>
      </w:numPr>
      <w:spacing w:line="240" w:lineRule="auto"/>
    </w:pPr>
    <w:rPr>
      <w:vanish/>
      <w:color w:val="000080"/>
    </w:rPr>
  </w:style>
  <w:style w:type="paragraph" w:customStyle="1" w:styleId="GNHeading">
    <w:name w:val="GN Heading"/>
    <w:basedOn w:val="Normal"/>
    <w:next w:val="GNNormalIndent"/>
    <w:uiPriority w:val="1"/>
    <w:qFormat/>
    <w:rsid w:val="00620C38"/>
    <w:pPr>
      <w:keepNext/>
      <w:numPr>
        <w:numId w:val="7"/>
      </w:numPr>
      <w:spacing w:before="200" w:line="240" w:lineRule="auto"/>
    </w:pPr>
    <w:rPr>
      <w:b/>
      <w:vanish/>
      <w:color w:val="000080"/>
    </w:rPr>
  </w:style>
  <w:style w:type="paragraph" w:customStyle="1" w:styleId="GNLevel1">
    <w:name w:val="GN Level 1"/>
    <w:basedOn w:val="Normal"/>
    <w:uiPriority w:val="1"/>
    <w:qFormat/>
    <w:rsid w:val="00620C38"/>
    <w:pPr>
      <w:numPr>
        <w:numId w:val="8"/>
      </w:numPr>
      <w:spacing w:line="240" w:lineRule="auto"/>
    </w:pPr>
    <w:rPr>
      <w:vanish/>
      <w:color w:val="000080"/>
    </w:rPr>
  </w:style>
  <w:style w:type="paragraph" w:customStyle="1" w:styleId="GNLevel2">
    <w:name w:val="GN Level 2"/>
    <w:basedOn w:val="Normal"/>
    <w:uiPriority w:val="1"/>
    <w:qFormat/>
    <w:rsid w:val="00620C38"/>
    <w:pPr>
      <w:numPr>
        <w:ilvl w:val="1"/>
        <w:numId w:val="8"/>
      </w:numPr>
      <w:spacing w:line="240" w:lineRule="auto"/>
    </w:pPr>
    <w:rPr>
      <w:vanish/>
      <w:color w:val="000080"/>
    </w:rPr>
  </w:style>
  <w:style w:type="paragraph" w:customStyle="1" w:styleId="GNLevel3">
    <w:name w:val="GN Level 3"/>
    <w:basedOn w:val="Normal"/>
    <w:uiPriority w:val="1"/>
    <w:qFormat/>
    <w:rsid w:val="00620C38"/>
    <w:pPr>
      <w:numPr>
        <w:ilvl w:val="2"/>
        <w:numId w:val="8"/>
      </w:numPr>
      <w:spacing w:line="240" w:lineRule="auto"/>
    </w:pPr>
    <w:rPr>
      <w:vanish/>
      <w:color w:val="000080"/>
    </w:rPr>
  </w:style>
  <w:style w:type="paragraph" w:customStyle="1" w:styleId="GNLevel4">
    <w:name w:val="GN Level 4"/>
    <w:basedOn w:val="Normal"/>
    <w:uiPriority w:val="1"/>
    <w:qFormat/>
    <w:rsid w:val="00620C38"/>
    <w:pPr>
      <w:numPr>
        <w:ilvl w:val="3"/>
        <w:numId w:val="8"/>
      </w:numPr>
      <w:spacing w:line="240" w:lineRule="auto"/>
    </w:pPr>
    <w:rPr>
      <w:vanish/>
      <w:color w:val="000080"/>
    </w:rPr>
  </w:style>
  <w:style w:type="paragraph" w:customStyle="1" w:styleId="GNNormal">
    <w:name w:val="GN Normal"/>
    <w:basedOn w:val="Normal"/>
    <w:uiPriority w:val="1"/>
    <w:qFormat/>
    <w:rsid w:val="00620C38"/>
    <w:pPr>
      <w:spacing w:line="240" w:lineRule="auto"/>
    </w:pPr>
    <w:rPr>
      <w:vanish/>
      <w:color w:val="000080"/>
    </w:rPr>
  </w:style>
  <w:style w:type="paragraph" w:customStyle="1" w:styleId="GNNormalIndent">
    <w:name w:val="GN Normal Indent"/>
    <w:basedOn w:val="GNNormal"/>
    <w:uiPriority w:val="1"/>
    <w:qFormat/>
    <w:rsid w:val="00620C38"/>
    <w:pPr>
      <w:ind w:left="709"/>
    </w:pPr>
  </w:style>
  <w:style w:type="paragraph" w:styleId="Header">
    <w:name w:val="header"/>
    <w:basedOn w:val="Normal"/>
    <w:link w:val="HeaderChar"/>
    <w:semiHidden/>
    <w:rsid w:val="00620C38"/>
    <w:pPr>
      <w:spacing w:before="0" w:line="240" w:lineRule="auto"/>
    </w:pPr>
    <w:rPr>
      <w:noProof/>
      <w:sz w:val="16"/>
    </w:rPr>
  </w:style>
  <w:style w:type="character" w:customStyle="1" w:styleId="HeaderChar">
    <w:name w:val="Header Char"/>
    <w:basedOn w:val="DefaultParagraphFont"/>
    <w:link w:val="Header"/>
    <w:semiHidden/>
    <w:rsid w:val="00620C38"/>
    <w:rPr>
      <w:rFonts w:ascii="Arial" w:eastAsia="Times New Roman" w:hAnsi="Arial" w:cs="Times New Roman"/>
      <w:noProof/>
      <w:sz w:val="16"/>
      <w:szCs w:val="20"/>
      <w:lang w:eastAsia="en-AU"/>
    </w:rPr>
  </w:style>
  <w:style w:type="paragraph" w:customStyle="1" w:styleId="HeaderTitle">
    <w:name w:val="Header Title"/>
    <w:basedOn w:val="Normal"/>
    <w:qFormat/>
    <w:rsid w:val="00620C38"/>
    <w:pPr>
      <w:spacing w:line="240" w:lineRule="auto"/>
    </w:pPr>
    <w:rPr>
      <w:noProof/>
    </w:rPr>
  </w:style>
  <w:style w:type="character" w:customStyle="1" w:styleId="Heading1Char">
    <w:name w:val="Heading 1 Char"/>
    <w:basedOn w:val="DefaultParagraphFont"/>
    <w:link w:val="Heading1"/>
    <w:rsid w:val="00620C38"/>
    <w:rPr>
      <w:rFonts w:ascii="Arial" w:eastAsia="Times New Roman" w:hAnsi="Arial" w:cs="Times New Roman"/>
      <w:sz w:val="20"/>
      <w:szCs w:val="20"/>
      <w:lang w:eastAsia="en-AU"/>
    </w:rPr>
  </w:style>
  <w:style w:type="character" w:customStyle="1" w:styleId="Heading2Char">
    <w:name w:val="Heading 2 Char"/>
    <w:basedOn w:val="DefaultParagraphFont"/>
    <w:link w:val="Heading2"/>
    <w:semiHidden/>
    <w:rsid w:val="00620C38"/>
    <w:rPr>
      <w:rFonts w:ascii="Arial" w:eastAsia="Times New Roman" w:hAnsi="Arial" w:cs="Times New Roman"/>
      <w:sz w:val="20"/>
      <w:szCs w:val="20"/>
      <w:lang w:eastAsia="en-AU"/>
    </w:rPr>
  </w:style>
  <w:style w:type="character" w:customStyle="1" w:styleId="Heading3Char">
    <w:name w:val="Heading 3 Char"/>
    <w:basedOn w:val="DefaultParagraphFont"/>
    <w:link w:val="Heading3"/>
    <w:semiHidden/>
    <w:rsid w:val="00620C38"/>
    <w:rPr>
      <w:rFonts w:ascii="Arial" w:eastAsia="Times New Roman" w:hAnsi="Arial" w:cs="Times New Roman"/>
      <w:sz w:val="20"/>
      <w:szCs w:val="20"/>
      <w:lang w:eastAsia="en-AU"/>
    </w:rPr>
  </w:style>
  <w:style w:type="character" w:customStyle="1" w:styleId="Heading4Char">
    <w:name w:val="Heading 4 Char"/>
    <w:basedOn w:val="DefaultParagraphFont"/>
    <w:link w:val="Heading4"/>
    <w:semiHidden/>
    <w:rsid w:val="00620C38"/>
    <w:rPr>
      <w:rFonts w:ascii="Arial" w:eastAsia="Times New Roman" w:hAnsi="Arial" w:cs="Times New Roman"/>
      <w:sz w:val="20"/>
      <w:szCs w:val="20"/>
      <w:lang w:eastAsia="en-AU"/>
    </w:rPr>
  </w:style>
  <w:style w:type="character" w:customStyle="1" w:styleId="Heading5Char">
    <w:name w:val="Heading 5 Char"/>
    <w:basedOn w:val="DefaultParagraphFont"/>
    <w:link w:val="Heading5"/>
    <w:semiHidden/>
    <w:rsid w:val="00620C38"/>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620C38"/>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620C38"/>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620C38"/>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620C38"/>
    <w:rPr>
      <w:rFonts w:ascii="Arial" w:eastAsia="Times New Roman" w:hAnsi="Arial" w:cs="Times New Roman"/>
      <w:sz w:val="20"/>
      <w:szCs w:val="20"/>
      <w:lang w:eastAsia="en-AU"/>
    </w:rPr>
  </w:style>
  <w:style w:type="character" w:styleId="Hyperlink">
    <w:name w:val="Hyperlink"/>
    <w:uiPriority w:val="99"/>
    <w:rsid w:val="00F37349"/>
    <w:rPr>
      <w:color w:val="0000FF"/>
      <w:u w:val="single"/>
    </w:rPr>
  </w:style>
  <w:style w:type="paragraph" w:customStyle="1" w:styleId="level1">
    <w:name w:val="level1"/>
    <w:basedOn w:val="Normal"/>
    <w:qFormat/>
    <w:rsid w:val="00620C38"/>
    <w:pPr>
      <w:numPr>
        <w:numId w:val="9"/>
      </w:numPr>
    </w:pPr>
  </w:style>
  <w:style w:type="paragraph" w:customStyle="1" w:styleId="level2">
    <w:name w:val="level2"/>
    <w:basedOn w:val="Normal"/>
    <w:qFormat/>
    <w:rsid w:val="00620C38"/>
    <w:pPr>
      <w:numPr>
        <w:ilvl w:val="1"/>
        <w:numId w:val="9"/>
      </w:numPr>
    </w:pPr>
  </w:style>
  <w:style w:type="paragraph" w:customStyle="1" w:styleId="level3">
    <w:name w:val="level3"/>
    <w:basedOn w:val="Normal"/>
    <w:qFormat/>
    <w:rsid w:val="00620C38"/>
    <w:pPr>
      <w:numPr>
        <w:ilvl w:val="2"/>
        <w:numId w:val="9"/>
      </w:numPr>
    </w:pPr>
  </w:style>
  <w:style w:type="paragraph" w:customStyle="1" w:styleId="level4">
    <w:name w:val="level4"/>
    <w:basedOn w:val="Normal"/>
    <w:qFormat/>
    <w:rsid w:val="00620C38"/>
    <w:pPr>
      <w:numPr>
        <w:ilvl w:val="3"/>
        <w:numId w:val="9"/>
      </w:numPr>
    </w:pPr>
  </w:style>
  <w:style w:type="paragraph" w:customStyle="1" w:styleId="level5">
    <w:name w:val="level5"/>
    <w:basedOn w:val="Normal"/>
    <w:qFormat/>
    <w:rsid w:val="00620C38"/>
    <w:pPr>
      <w:numPr>
        <w:ilvl w:val="4"/>
        <w:numId w:val="9"/>
      </w:numPr>
    </w:pPr>
  </w:style>
  <w:style w:type="paragraph" w:customStyle="1" w:styleId="level6">
    <w:name w:val="level6"/>
    <w:basedOn w:val="Normal"/>
    <w:qFormat/>
    <w:rsid w:val="00620C38"/>
    <w:pPr>
      <w:numPr>
        <w:ilvl w:val="5"/>
        <w:numId w:val="9"/>
      </w:numPr>
    </w:pPr>
  </w:style>
  <w:style w:type="character" w:styleId="PageNumber">
    <w:name w:val="page number"/>
    <w:semiHidden/>
    <w:qFormat/>
    <w:rsid w:val="00620C38"/>
    <w:rPr>
      <w:sz w:val="16"/>
    </w:rPr>
  </w:style>
  <w:style w:type="paragraph" w:customStyle="1" w:styleId="Schedule">
    <w:name w:val="Schedule"/>
    <w:basedOn w:val="Normal"/>
    <w:next w:val="ScheduleHeading"/>
    <w:qFormat/>
    <w:rsid w:val="00620C38"/>
    <w:pPr>
      <w:keepNext/>
      <w:numPr>
        <w:numId w:val="10"/>
      </w:numPr>
      <w:spacing w:before="200"/>
      <w:outlineLvl w:val="0"/>
    </w:pPr>
    <w:rPr>
      <w:b/>
      <w:sz w:val="22"/>
    </w:rPr>
  </w:style>
  <w:style w:type="paragraph" w:customStyle="1" w:styleId="Schedule1">
    <w:name w:val="Schedule 1"/>
    <w:basedOn w:val="Normal"/>
    <w:next w:val="Schedule2"/>
    <w:qFormat/>
    <w:rsid w:val="00620C38"/>
    <w:pPr>
      <w:keepNext/>
      <w:numPr>
        <w:ilvl w:val="2"/>
        <w:numId w:val="10"/>
      </w:numPr>
      <w:spacing w:before="200"/>
    </w:pPr>
    <w:rPr>
      <w:b/>
      <w:sz w:val="22"/>
    </w:rPr>
  </w:style>
  <w:style w:type="paragraph" w:customStyle="1" w:styleId="Schedule2">
    <w:name w:val="Schedule 2"/>
    <w:basedOn w:val="Normal"/>
    <w:next w:val="NormalIndent"/>
    <w:qFormat/>
    <w:rsid w:val="00620C38"/>
    <w:pPr>
      <w:keepNext/>
      <w:numPr>
        <w:ilvl w:val="3"/>
        <w:numId w:val="10"/>
      </w:numPr>
      <w:spacing w:before="160"/>
    </w:pPr>
    <w:rPr>
      <w:b/>
      <w:sz w:val="21"/>
    </w:rPr>
  </w:style>
  <w:style w:type="paragraph" w:customStyle="1" w:styleId="Schedule3">
    <w:name w:val="Schedule 3"/>
    <w:basedOn w:val="Normal"/>
    <w:qFormat/>
    <w:rsid w:val="00620C38"/>
    <w:pPr>
      <w:numPr>
        <w:ilvl w:val="4"/>
        <w:numId w:val="10"/>
      </w:numPr>
    </w:pPr>
  </w:style>
  <w:style w:type="paragraph" w:customStyle="1" w:styleId="Schedule4">
    <w:name w:val="Schedule 4"/>
    <w:basedOn w:val="Normal"/>
    <w:qFormat/>
    <w:rsid w:val="00620C38"/>
    <w:pPr>
      <w:numPr>
        <w:ilvl w:val="5"/>
        <w:numId w:val="10"/>
      </w:numPr>
    </w:pPr>
  </w:style>
  <w:style w:type="paragraph" w:customStyle="1" w:styleId="Schedule5">
    <w:name w:val="Schedule 5"/>
    <w:basedOn w:val="Normal"/>
    <w:qFormat/>
    <w:rsid w:val="00620C38"/>
    <w:pPr>
      <w:numPr>
        <w:ilvl w:val="6"/>
        <w:numId w:val="10"/>
      </w:numPr>
    </w:pPr>
  </w:style>
  <w:style w:type="paragraph" w:customStyle="1" w:styleId="Schedule6">
    <w:name w:val="Schedule 6"/>
    <w:basedOn w:val="Normal"/>
    <w:qFormat/>
    <w:rsid w:val="00620C38"/>
    <w:pPr>
      <w:numPr>
        <w:ilvl w:val="7"/>
        <w:numId w:val="10"/>
      </w:numPr>
    </w:pPr>
  </w:style>
  <w:style w:type="paragraph" w:customStyle="1" w:styleId="ScheduleHeading">
    <w:name w:val="Schedule Heading"/>
    <w:basedOn w:val="Normal"/>
    <w:next w:val="Schedule1"/>
    <w:qFormat/>
    <w:rsid w:val="00620C38"/>
    <w:pPr>
      <w:keepNext/>
      <w:numPr>
        <w:ilvl w:val="1"/>
        <w:numId w:val="10"/>
      </w:numPr>
      <w:spacing w:before="160"/>
      <w:outlineLvl w:val="1"/>
    </w:pPr>
    <w:rPr>
      <w:b/>
      <w:sz w:val="22"/>
    </w:rPr>
  </w:style>
  <w:style w:type="table" w:styleId="TableGrid">
    <w:name w:val="Table Grid"/>
    <w:basedOn w:val="TableNormal"/>
    <w:rsid w:val="00620C38"/>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20C38"/>
    <w:pPr>
      <w:keepNext/>
      <w:spacing w:before="0" w:after="60"/>
    </w:pPr>
    <w:rPr>
      <w:sz w:val="32"/>
    </w:rPr>
  </w:style>
  <w:style w:type="character" w:customStyle="1" w:styleId="TitleChar">
    <w:name w:val="Title Char"/>
    <w:basedOn w:val="DefaultParagraphFont"/>
    <w:link w:val="Title"/>
    <w:rsid w:val="00620C38"/>
    <w:rPr>
      <w:rFonts w:ascii="Arial" w:eastAsia="Times New Roman" w:hAnsi="Arial" w:cs="Times New Roman"/>
      <w:sz w:val="32"/>
      <w:szCs w:val="20"/>
      <w:lang w:eastAsia="en-AU"/>
    </w:rPr>
  </w:style>
  <w:style w:type="paragraph" w:styleId="TOC1">
    <w:name w:val="toc 1"/>
    <w:basedOn w:val="Normal"/>
    <w:next w:val="TOC2"/>
    <w:autoRedefine/>
    <w:uiPriority w:val="39"/>
    <w:qFormat/>
    <w:rsid w:val="00620C38"/>
    <w:pPr>
      <w:tabs>
        <w:tab w:val="right" w:pos="9356"/>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620C38"/>
    <w:pPr>
      <w:tabs>
        <w:tab w:val="left" w:pos="709"/>
        <w:tab w:val="right" w:pos="9356"/>
      </w:tabs>
      <w:spacing w:before="60" w:line="240" w:lineRule="auto"/>
      <w:ind w:left="1418" w:hanging="709"/>
    </w:pPr>
    <w:rPr>
      <w:noProof/>
      <w:lang w:eastAsia="en-US"/>
    </w:rPr>
  </w:style>
  <w:style w:type="paragraph" w:styleId="TOC3">
    <w:name w:val="toc 3"/>
    <w:basedOn w:val="Normal"/>
    <w:autoRedefine/>
    <w:semiHidden/>
    <w:rsid w:val="00620C38"/>
    <w:pPr>
      <w:spacing w:before="60" w:line="240" w:lineRule="auto"/>
      <w:ind w:left="709"/>
    </w:pPr>
    <w:rPr>
      <w:noProof/>
      <w:lang w:eastAsia="en-US"/>
    </w:rPr>
  </w:style>
  <w:style w:type="paragraph" w:styleId="TOC4">
    <w:name w:val="toc 4"/>
    <w:basedOn w:val="Normal"/>
    <w:next w:val="Normal"/>
    <w:autoRedefine/>
    <w:semiHidden/>
    <w:rsid w:val="00620C38"/>
    <w:pPr>
      <w:tabs>
        <w:tab w:val="right" w:pos="7938"/>
      </w:tabs>
      <w:spacing w:before="60" w:line="240" w:lineRule="auto"/>
      <w:ind w:left="2835" w:hanging="709"/>
    </w:pPr>
    <w:rPr>
      <w:noProof/>
      <w:lang w:eastAsia="en-US"/>
    </w:rPr>
  </w:style>
  <w:style w:type="paragraph" w:styleId="TOC5">
    <w:name w:val="toc 5"/>
    <w:basedOn w:val="Normal"/>
    <w:next w:val="Normal"/>
    <w:autoRedefine/>
    <w:semiHidden/>
    <w:rsid w:val="00620C38"/>
    <w:pPr>
      <w:ind w:left="3544" w:hanging="709"/>
    </w:pPr>
    <w:rPr>
      <w:lang w:eastAsia="en-US"/>
    </w:rPr>
  </w:style>
  <w:style w:type="paragraph" w:styleId="TOC6">
    <w:name w:val="toc 6"/>
    <w:basedOn w:val="Normal"/>
    <w:next w:val="Normal"/>
    <w:autoRedefine/>
    <w:semiHidden/>
    <w:rsid w:val="00620C38"/>
    <w:pPr>
      <w:ind w:left="4253" w:hanging="709"/>
    </w:pPr>
    <w:rPr>
      <w:lang w:eastAsia="en-US"/>
    </w:rPr>
  </w:style>
  <w:style w:type="paragraph" w:styleId="TOC7">
    <w:name w:val="toc 7"/>
    <w:basedOn w:val="Normal"/>
    <w:next w:val="Normal"/>
    <w:autoRedefine/>
    <w:semiHidden/>
    <w:rsid w:val="00620C38"/>
    <w:pPr>
      <w:ind w:left="1200"/>
    </w:pPr>
    <w:rPr>
      <w:lang w:eastAsia="en-US"/>
    </w:rPr>
  </w:style>
  <w:style w:type="paragraph" w:styleId="TOC8">
    <w:name w:val="toc 8"/>
    <w:basedOn w:val="Normal"/>
    <w:next w:val="Normal"/>
    <w:autoRedefine/>
    <w:semiHidden/>
    <w:rsid w:val="00620C38"/>
    <w:pPr>
      <w:ind w:left="1400"/>
    </w:pPr>
    <w:rPr>
      <w:lang w:eastAsia="en-US"/>
    </w:rPr>
  </w:style>
  <w:style w:type="paragraph" w:styleId="TOC9">
    <w:name w:val="toc 9"/>
    <w:basedOn w:val="Normal"/>
    <w:next w:val="Normal"/>
    <w:autoRedefine/>
    <w:semiHidden/>
    <w:rsid w:val="00620C38"/>
    <w:pPr>
      <w:ind w:left="1600"/>
    </w:pPr>
    <w:rPr>
      <w:lang w:eastAsia="en-US"/>
    </w:rPr>
  </w:style>
  <w:style w:type="table" w:customStyle="1" w:styleId="TableGrid1">
    <w:name w:val="Table Grid1"/>
    <w:basedOn w:val="TableNormal"/>
    <w:next w:val="TableGrid"/>
    <w:rsid w:val="001636E1"/>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636E1"/>
  </w:style>
  <w:style w:type="paragraph" w:styleId="ListParagraph">
    <w:name w:val="List Paragraph"/>
    <w:basedOn w:val="Normal"/>
    <w:uiPriority w:val="34"/>
    <w:semiHidden/>
    <w:qFormat/>
    <w:rsid w:val="00D37D0D"/>
    <w:pPr>
      <w:ind w:left="720"/>
      <w:contextualSpacing/>
    </w:pPr>
  </w:style>
  <w:style w:type="character" w:styleId="CommentReference">
    <w:name w:val="annotation reference"/>
    <w:basedOn w:val="DefaultParagraphFont"/>
    <w:uiPriority w:val="99"/>
    <w:semiHidden/>
    <w:unhideWhenUsed/>
    <w:rsid w:val="0009598C"/>
    <w:rPr>
      <w:sz w:val="16"/>
      <w:szCs w:val="16"/>
    </w:rPr>
  </w:style>
  <w:style w:type="paragraph" w:styleId="CommentText">
    <w:name w:val="annotation text"/>
    <w:basedOn w:val="Normal"/>
    <w:link w:val="CommentTextChar"/>
    <w:uiPriority w:val="99"/>
    <w:semiHidden/>
    <w:unhideWhenUsed/>
    <w:rsid w:val="0009598C"/>
    <w:pPr>
      <w:spacing w:line="240" w:lineRule="auto"/>
    </w:pPr>
  </w:style>
  <w:style w:type="character" w:customStyle="1" w:styleId="CommentTextChar">
    <w:name w:val="Comment Text Char"/>
    <w:basedOn w:val="DefaultParagraphFont"/>
    <w:link w:val="CommentText"/>
    <w:uiPriority w:val="99"/>
    <w:semiHidden/>
    <w:rsid w:val="0009598C"/>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9598C"/>
    <w:rPr>
      <w:b/>
      <w:bCs/>
    </w:rPr>
  </w:style>
  <w:style w:type="character" w:customStyle="1" w:styleId="CommentSubjectChar">
    <w:name w:val="Comment Subject Char"/>
    <w:basedOn w:val="CommentTextChar"/>
    <w:link w:val="CommentSubject"/>
    <w:uiPriority w:val="99"/>
    <w:semiHidden/>
    <w:rsid w:val="0009598C"/>
    <w:rPr>
      <w:rFonts w:ascii="Arial" w:eastAsia="Times New Roman" w:hAnsi="Arial" w:cs="Times New Roman"/>
      <w:b/>
      <w:bCs/>
      <w:sz w:val="20"/>
      <w:szCs w:val="20"/>
      <w:lang w:eastAsia="en-AU"/>
    </w:rPr>
  </w:style>
  <w:style w:type="paragraph" w:styleId="Revision">
    <w:name w:val="Revision"/>
    <w:hidden/>
    <w:uiPriority w:val="99"/>
    <w:semiHidden/>
    <w:rsid w:val="0009598C"/>
    <w:pPr>
      <w:spacing w:after="0" w:line="240" w:lineRule="auto"/>
    </w:pPr>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FC0D13"/>
    <w:rPr>
      <w:vertAlign w:val="superscript"/>
    </w:rPr>
  </w:style>
  <w:style w:type="character" w:styleId="FollowedHyperlink">
    <w:name w:val="FollowedHyperlink"/>
    <w:basedOn w:val="DefaultParagraphFont"/>
    <w:uiPriority w:val="99"/>
    <w:semiHidden/>
    <w:unhideWhenUsed/>
    <w:rsid w:val="00FC0D13"/>
    <w:rPr>
      <w:color w:val="800080" w:themeColor="followedHyperlink"/>
      <w:u w:val="single"/>
    </w:rPr>
  </w:style>
  <w:style w:type="paragraph" w:styleId="Caption">
    <w:name w:val="caption"/>
    <w:basedOn w:val="Normal"/>
    <w:next w:val="Normal"/>
    <w:uiPriority w:val="35"/>
    <w:unhideWhenUsed/>
    <w:qFormat/>
    <w:rsid w:val="00FC0D13"/>
    <w:pPr>
      <w:spacing w:before="0" w:after="200" w:line="240" w:lineRule="auto"/>
    </w:pPr>
    <w:rPr>
      <w:b/>
      <w:bCs/>
      <w:color w:val="4F81BD" w:themeColor="accent1"/>
      <w:sz w:val="18"/>
      <w:szCs w:val="18"/>
    </w:rPr>
  </w:style>
  <w:style w:type="table" w:styleId="LightShading-Accent1">
    <w:name w:val="Light Shading Accent 1"/>
    <w:basedOn w:val="TableNormal"/>
    <w:uiPriority w:val="60"/>
    <w:rsid w:val="00FC0D1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8760">
      <w:bodyDiv w:val="1"/>
      <w:marLeft w:val="0"/>
      <w:marRight w:val="0"/>
      <w:marTop w:val="0"/>
      <w:marBottom w:val="0"/>
      <w:divBdr>
        <w:top w:val="none" w:sz="0" w:space="0" w:color="auto"/>
        <w:left w:val="none" w:sz="0" w:space="0" w:color="auto"/>
        <w:bottom w:val="none" w:sz="0" w:space="0" w:color="auto"/>
        <w:right w:val="none" w:sz="0" w:space="0" w:color="auto"/>
      </w:divBdr>
    </w:div>
    <w:div w:id="244189490">
      <w:bodyDiv w:val="1"/>
      <w:marLeft w:val="0"/>
      <w:marRight w:val="0"/>
      <w:marTop w:val="0"/>
      <w:marBottom w:val="0"/>
      <w:divBdr>
        <w:top w:val="none" w:sz="0" w:space="0" w:color="auto"/>
        <w:left w:val="none" w:sz="0" w:space="0" w:color="auto"/>
        <w:bottom w:val="none" w:sz="0" w:space="0" w:color="auto"/>
        <w:right w:val="none" w:sz="0" w:space="0" w:color="auto"/>
      </w:divBdr>
    </w:div>
    <w:div w:id="63610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nds.gov.sb/" TargetMode="External"/><Relationship Id="rId18" Type="http://schemas.openxmlformats.org/officeDocument/2006/relationships/footer" Target="footer2.xml"/><Relationship Id="rId26" Type="http://schemas.openxmlformats.org/officeDocument/2006/relationships/hyperlink" Target="http://www.paclii.org/sb/legis/consol_act/tacpa293/" TargetMode="External"/><Relationship Id="rId3" Type="http://schemas.openxmlformats.org/officeDocument/2006/relationships/styles" Target="styles.xml"/><Relationship Id="rId21" Type="http://schemas.openxmlformats.org/officeDocument/2006/relationships/hyperlink" Target="http://www.paclii.org/sb/legis/consol_act/lata143/"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paclii.org/sb/legis/consol_act/clra249/" TargetMode="External"/><Relationship Id="rId17" Type="http://schemas.openxmlformats.org/officeDocument/2006/relationships/header" Target="header2.xml"/><Relationship Id="rId25" Type="http://schemas.openxmlformats.org/officeDocument/2006/relationships/hyperlink" Target="http://www.paclii.org/sb/legis/consol_act/rwa168/"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paclii.org/sb/legis/consol_act/c1978167/"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clii.org/sb/legis/consol_act/lata143/" TargetMode="External"/><Relationship Id="rId24" Type="http://schemas.openxmlformats.org/officeDocument/2006/relationships/hyperlink" Target="http://www.paclii.org/sb/legis/consol_act/mama175/" TargetMode="External"/><Relationship Id="rId32" Type="http://schemas.microsoft.com/office/2007/relationships/diagramDrawing" Target="diagrams/drawing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paclii.org/sb/legis/consol_act/fratua427/" TargetMode="External"/><Relationship Id="rId28" Type="http://schemas.openxmlformats.org/officeDocument/2006/relationships/diagramData" Target="diagrams/data1.xml"/><Relationship Id="rId36" Type="http://schemas.openxmlformats.org/officeDocument/2006/relationships/fontTable" Target="fontTable.xml"/><Relationship Id="rId10" Type="http://schemas.openxmlformats.org/officeDocument/2006/relationships/hyperlink" Target="http://www.paclii.org/sb/legis/consol_act/c1978167/" TargetMode="External"/><Relationship Id="rId19" Type="http://schemas.openxmlformats.org/officeDocument/2006/relationships/image" Target="media/image3.gif"/><Relationship Id="rId31"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hyperlink" Target="mailto:lemarshall@redcross.org.au" TargetMode="External"/><Relationship Id="rId14" Type="http://schemas.openxmlformats.org/officeDocument/2006/relationships/hyperlink" Target="http://www.ndmo.gov.sb/" TargetMode="External"/><Relationship Id="rId22" Type="http://schemas.openxmlformats.org/officeDocument/2006/relationships/hyperlink" Target="http://www.paclii.org/sb/legis/consol_act/clra249/" TargetMode="External"/><Relationship Id="rId27" Type="http://schemas.openxmlformats.org/officeDocument/2006/relationships/hyperlink" Target="http://www.paclii.org/sb/legis/consol_act/lsa170/" TargetMode="External"/><Relationship Id="rId30" Type="http://schemas.openxmlformats.org/officeDocument/2006/relationships/diagramQuickStyle" Target="diagrams/quickStyle1.xml"/><Relationship Id="rId35"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www.paclii.org/sb/legis/consol_act/c1978167/" TargetMode="External"/><Relationship Id="rId13" Type="http://schemas.openxmlformats.org/officeDocument/2006/relationships/hyperlink" Target="http://dfat.gov.au/about-us/publications/Documents/MLW_VolumeTwo_CaseStudy_5.pdf" TargetMode="External"/><Relationship Id="rId18" Type="http://schemas.openxmlformats.org/officeDocument/2006/relationships/hyperlink" Target="http://documents.worldbank.org/curated/en/945751468165272583/pdf/544240Briefing1Guadalcanal1SolIslds.pdf" TargetMode="External"/><Relationship Id="rId26" Type="http://schemas.openxmlformats.org/officeDocument/2006/relationships/hyperlink" Target="https://www.citypopulation.de/Solomon.html" TargetMode="External"/><Relationship Id="rId39" Type="http://schemas.openxmlformats.org/officeDocument/2006/relationships/hyperlink" Target="http://www.climatechangenews.com/2014/08/15/solomon-islands-town-to-relocate-as-climate-pressures-mount/" TargetMode="External"/><Relationship Id="rId3" Type="http://schemas.openxmlformats.org/officeDocument/2006/relationships/hyperlink" Target="http://scholar.law.colorado.edu/cgi/viewcontent.cgi?article=1169&amp;context=books_reports_studies" TargetMode="External"/><Relationship Id="rId21" Type="http://schemas.openxmlformats.org/officeDocument/2006/relationships/hyperlink" Target="http://documents.worldbank.org/curated/en/353081468308114790/pdf/812990WP0DL0Se0Box0379833B00PUBLIC0.pdf" TargetMode="External"/><Relationship Id="rId34" Type="http://schemas.openxmlformats.org/officeDocument/2006/relationships/hyperlink" Target="https://www.cia.gov/library/publications/the-world-factbook/geos/bp.html" TargetMode="External"/><Relationship Id="rId7" Type="http://schemas.openxmlformats.org/officeDocument/2006/relationships/hyperlink" Target="http://dfat.gov.au/about-us/publications/Documents/MLW_VolumeOne_Bookmarked.pdf" TargetMode="External"/><Relationship Id="rId12" Type="http://schemas.openxmlformats.org/officeDocument/2006/relationships/hyperlink" Target="http://www.lands.gov.sb/media-releases/32-strata-title-on-the-way.htm" TargetMode="External"/><Relationship Id="rId17" Type="http://schemas.openxmlformats.org/officeDocument/2006/relationships/hyperlink" Target="http://www.ndmo.gov.sb/" TargetMode="External"/><Relationship Id="rId25" Type="http://schemas.openxmlformats.org/officeDocument/2006/relationships/hyperlink" Target="http://adaptation-undp.org/sites/default/files/downloads/solomon_islands_napa.pdf" TargetMode="External"/><Relationship Id="rId33" Type="http://schemas.openxmlformats.org/officeDocument/2006/relationships/hyperlink" Target="http://www.paclii.org/journals/fJSPL/vol11no1/pdf/Foukona.pdf" TargetMode="External"/><Relationship Id="rId38" Type="http://schemas.openxmlformats.org/officeDocument/2006/relationships/hyperlink" Target="http://www.austlii.edu.au/au/journals/AUJlHRights/2006/7.pdf" TargetMode="External"/><Relationship Id="rId2" Type="http://schemas.openxmlformats.org/officeDocument/2006/relationships/hyperlink" Target="https://www.cia.gov/library/publications/the-world-factbook/geos/bp.html" TargetMode="External"/><Relationship Id="rId16" Type="http://schemas.openxmlformats.org/officeDocument/2006/relationships/hyperlink" Target="http://www.lands.gov.sb/land-board.html" TargetMode="External"/><Relationship Id="rId20" Type="http://schemas.openxmlformats.org/officeDocument/2006/relationships/hyperlink" Target="http://www.paclii.org/sb/legis/consol_act/lca149/" TargetMode="External"/><Relationship Id="rId29" Type="http://schemas.openxmlformats.org/officeDocument/2006/relationships/hyperlink" Target="http://unhabitat.org/books/solomon-islands-honiara-urban-profile/" TargetMode="External"/><Relationship Id="rId41" Type="http://schemas.openxmlformats.org/officeDocument/2006/relationships/hyperlink" Target="http://ssgm.bellschool.anu.edu.au/sites/default/files/publications/attachments/2016-05/ib-2016-13-keenmcneil_printweb_0.pdf" TargetMode="External"/><Relationship Id="rId1" Type="http://schemas.openxmlformats.org/officeDocument/2006/relationships/hyperlink" Target="http://assets.cambridge.org/97805218/88233/frontmatter/9780521888233_frontmatter.pdf" TargetMode="External"/><Relationship Id="rId6" Type="http://schemas.openxmlformats.org/officeDocument/2006/relationships/hyperlink" Target="http://commission-on-legal-pluralism.com/volumes/64/farran-art.pdf" TargetMode="External"/><Relationship Id="rId11" Type="http://schemas.openxmlformats.org/officeDocument/2006/relationships/hyperlink" Target="http://www.lands.gov.sb/media-releases/32-strata-title-on-the-way.html" TargetMode="External"/><Relationship Id="rId24" Type="http://schemas.openxmlformats.org/officeDocument/2006/relationships/hyperlink" Target="http://theislandsun.com/malaita-land-recording-to-begin-soon/" TargetMode="External"/><Relationship Id="rId32" Type="http://schemas.openxmlformats.org/officeDocument/2006/relationships/hyperlink" Target="https://www.ifc.org/wps/wcm/connect/0465238049fb0beca26eebd1a5d13d27/IFC_Gender+and+Inv+Climate+Reform+Assessments+_SolomonIslands.pdf?MOD=AJPERES" TargetMode="External"/><Relationship Id="rId37" Type="http://schemas.openxmlformats.org/officeDocument/2006/relationships/hyperlink" Target="http://www.paclii.org/sb/legis/consol_act/lata143/" TargetMode="External"/><Relationship Id="rId40" Type="http://schemas.openxmlformats.org/officeDocument/2006/relationships/hyperlink" Target="http://dfat.gov.au/about-us/publications/Documents/MLW_VolumeTwo_CaseStudy_15.pdf" TargetMode="External"/><Relationship Id="rId5" Type="http://schemas.openxmlformats.org/officeDocument/2006/relationships/hyperlink" Target="http://www.paclii.org/sb/legis/consol_act/c1978167/" TargetMode="External"/><Relationship Id="rId15" Type="http://schemas.openxmlformats.org/officeDocument/2006/relationships/hyperlink" Target="http://www.parliament.gov.sb/index.php?q=node/79" TargetMode="External"/><Relationship Id="rId23" Type="http://schemas.openxmlformats.org/officeDocument/2006/relationships/hyperlink" Target="http://www.lands.gov.sb/divisions/land-reform.html" TargetMode="External"/><Relationship Id="rId28" Type="http://schemas.openxmlformats.org/officeDocument/2006/relationships/hyperlink" Target="file:///C:\Users\mnlm\AppData\Local\OpenText\DM\Temp\United%20Nation%20Human%20Settlements%20Programme%20(UN-Habitat),%20Solomon%20Islands:%20Honiara%20Urban%20Profile%20(2012)," TargetMode="External"/><Relationship Id="rId36" Type="http://schemas.openxmlformats.org/officeDocument/2006/relationships/hyperlink" Target="http://www.mof.gov.sb/Libraries/Statistics/2013_12_-_2009_Census_Report_on_Migration_and_Urbanisation.sflb.ashx" TargetMode="External"/><Relationship Id="rId10" Type="http://schemas.openxmlformats.org/officeDocument/2006/relationships/hyperlink" Target="http://www.lands.gov.sb/resources/ministry-documents/spc-dfat-input.html?layout=columns" TargetMode="External"/><Relationship Id="rId19" Type="http://schemas.openxmlformats.org/officeDocument/2006/relationships/hyperlink" Target="https://www.ifc.org/wps/wcm/connect/0465238049fb0beca26eebd1a5d13d27/IFC_Gender+and+Inv+Climate+Reform+Assessments+_SolomonIslands.pdf?MOD=AJPERES" TargetMode="External"/><Relationship Id="rId31" Type="http://schemas.openxmlformats.org/officeDocument/2006/relationships/hyperlink" Target="https://www.state.gov/j/drl/rls/hrrpt/2010/eap/154402.htm" TargetMode="External"/><Relationship Id="rId4" Type="http://schemas.openxmlformats.org/officeDocument/2006/relationships/hyperlink" Target="http://www.victoria.ac.nz/law/research/publications/about-nzacl/publications/special-issues/hors-serie-volume-xii,-2011/Corrin.pdf" TargetMode="External"/><Relationship Id="rId9" Type="http://schemas.openxmlformats.org/officeDocument/2006/relationships/hyperlink" Target="http://dfat.gov.au/about-us/publications/Documents/MLW_VolumeTwo_CaseStudy_5.pdf" TargetMode="External"/><Relationship Id="rId14" Type="http://schemas.openxmlformats.org/officeDocument/2006/relationships/hyperlink" Target="http://www.lands.gov.sb/divisions.html" TargetMode="External"/><Relationship Id="rId22" Type="http://schemas.openxmlformats.org/officeDocument/2006/relationships/hyperlink" Target="http://www.paclii.org/sb/legis/consol_act/clra249/" TargetMode="External"/><Relationship Id="rId27" Type="http://schemas.openxmlformats.org/officeDocument/2006/relationships/hyperlink" Target="http://unhabitat.org/books/solomon-islands-national-urban-profile/" TargetMode="External"/><Relationship Id="rId30" Type="http://schemas.openxmlformats.org/officeDocument/2006/relationships/hyperlink" Target="http://dfat.gov.au/about-us/publications/Documents/MLW_VolumeTwo_CaseStudy_5.pdf" TargetMode="External"/><Relationship Id="rId35" Type="http://schemas.openxmlformats.org/officeDocument/2006/relationships/hyperlink" Target="http://ssgm.bellschool.anu.edu.au/sites/default/files/publications/attachments/2016-05/ib-2016-13-keenmcneil_printweb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E59EDD-8EAE-427D-910C-A6C8424D2A77}" type="doc">
      <dgm:prSet loTypeId="urn:microsoft.com/office/officeart/2005/8/layout/arrow2" loCatId="process" qsTypeId="urn:microsoft.com/office/officeart/2005/8/quickstyle/simple1" qsCatId="simple" csTypeId="urn:microsoft.com/office/officeart/2005/8/colors/accent1_2" csCatId="accent1" phldr="1"/>
      <dgm:spPr/>
    </dgm:pt>
    <dgm:pt modelId="{00FB8103-B2D0-46E8-A465-DFBA5B3245D0}">
      <dgm:prSet phldrT="[Text]"/>
      <dgm:spPr/>
      <dgm:t>
        <a:bodyPr/>
        <a:lstStyle/>
        <a:p>
          <a:r>
            <a:rPr lang="en-AU"/>
            <a:t>Local Chiefs</a:t>
          </a:r>
        </a:p>
      </dgm:t>
    </dgm:pt>
    <dgm:pt modelId="{58014A40-952F-4AA6-A45B-9F8B5A031FB3}" type="parTrans" cxnId="{653EF7D4-3EBC-4071-8E31-AE9B6F6151A1}">
      <dgm:prSet/>
      <dgm:spPr/>
      <dgm:t>
        <a:bodyPr/>
        <a:lstStyle/>
        <a:p>
          <a:endParaRPr lang="en-AU"/>
        </a:p>
      </dgm:t>
    </dgm:pt>
    <dgm:pt modelId="{61D55436-6C28-451D-9400-CF0F3A20E6B6}" type="sibTrans" cxnId="{653EF7D4-3EBC-4071-8E31-AE9B6F6151A1}">
      <dgm:prSet/>
      <dgm:spPr/>
      <dgm:t>
        <a:bodyPr/>
        <a:lstStyle/>
        <a:p>
          <a:endParaRPr lang="en-AU"/>
        </a:p>
      </dgm:t>
    </dgm:pt>
    <dgm:pt modelId="{7786A325-09C8-4904-AEF9-C60BDD78674A}">
      <dgm:prSet phldrT="[Text]"/>
      <dgm:spPr/>
      <dgm:t>
        <a:bodyPr/>
        <a:lstStyle/>
        <a:p>
          <a:r>
            <a:rPr lang="en-AU"/>
            <a:t>Local Court</a:t>
          </a:r>
        </a:p>
      </dgm:t>
    </dgm:pt>
    <dgm:pt modelId="{DC0B2340-9699-4846-B93C-3EAD26A44A1C}" type="parTrans" cxnId="{5E58B014-28FB-4B4A-A876-532615F922EA}">
      <dgm:prSet/>
      <dgm:spPr/>
      <dgm:t>
        <a:bodyPr/>
        <a:lstStyle/>
        <a:p>
          <a:endParaRPr lang="en-AU"/>
        </a:p>
      </dgm:t>
    </dgm:pt>
    <dgm:pt modelId="{1D6F6F4A-DB91-4B78-B570-851888B91969}" type="sibTrans" cxnId="{5E58B014-28FB-4B4A-A876-532615F922EA}">
      <dgm:prSet/>
      <dgm:spPr/>
      <dgm:t>
        <a:bodyPr/>
        <a:lstStyle/>
        <a:p>
          <a:endParaRPr lang="en-AU"/>
        </a:p>
      </dgm:t>
    </dgm:pt>
    <dgm:pt modelId="{12E97D5A-9358-4A05-BDC8-8F007C4373BE}">
      <dgm:prSet phldrT="[Text]"/>
      <dgm:spPr/>
      <dgm:t>
        <a:bodyPr/>
        <a:lstStyle/>
        <a:p>
          <a:r>
            <a:rPr lang="en-AU"/>
            <a:t>Customary Land Appeal Court</a:t>
          </a:r>
        </a:p>
      </dgm:t>
    </dgm:pt>
    <dgm:pt modelId="{2CB0187D-1A3D-451A-92B3-237E2F47292F}" type="parTrans" cxnId="{FF02E00D-9214-40AC-8ADA-6945A5A53587}">
      <dgm:prSet/>
      <dgm:spPr/>
      <dgm:t>
        <a:bodyPr/>
        <a:lstStyle/>
        <a:p>
          <a:endParaRPr lang="en-AU"/>
        </a:p>
      </dgm:t>
    </dgm:pt>
    <dgm:pt modelId="{A51CD9FF-B5D4-4723-BF78-820E61E3CBE3}" type="sibTrans" cxnId="{FF02E00D-9214-40AC-8ADA-6945A5A53587}">
      <dgm:prSet/>
      <dgm:spPr/>
      <dgm:t>
        <a:bodyPr/>
        <a:lstStyle/>
        <a:p>
          <a:endParaRPr lang="en-AU"/>
        </a:p>
      </dgm:t>
    </dgm:pt>
    <dgm:pt modelId="{97D69A0E-88CE-4B17-AC8D-320C7763F27A}">
      <dgm:prSet phldrT="[Text]"/>
      <dgm:spPr/>
      <dgm:t>
        <a:bodyPr/>
        <a:lstStyle/>
        <a:p>
          <a:r>
            <a:rPr lang="en-AU"/>
            <a:t>High Court</a:t>
          </a:r>
        </a:p>
      </dgm:t>
    </dgm:pt>
    <dgm:pt modelId="{C58210DB-2EE6-4A7C-913A-77F568B14F80}" type="parTrans" cxnId="{6C6CD7C7-5358-4C06-9676-0CAE20990FCF}">
      <dgm:prSet/>
      <dgm:spPr/>
    </dgm:pt>
    <dgm:pt modelId="{2E64DC2F-AFE5-4393-9C47-7B12D1E611CA}" type="sibTrans" cxnId="{6C6CD7C7-5358-4C06-9676-0CAE20990FCF}">
      <dgm:prSet/>
      <dgm:spPr/>
    </dgm:pt>
    <dgm:pt modelId="{5EA20378-CBA1-47AE-8C75-0323D81B20FF}">
      <dgm:prSet phldrT="[Text]"/>
      <dgm:spPr/>
      <dgm:t>
        <a:bodyPr/>
        <a:lstStyle/>
        <a:p>
          <a:r>
            <a:rPr lang="en-AU"/>
            <a:t>Court of Appeal</a:t>
          </a:r>
        </a:p>
      </dgm:t>
    </dgm:pt>
    <dgm:pt modelId="{2B6982F9-C0F4-451F-8A9B-4C5571BB086B}" type="parTrans" cxnId="{3BE64792-5901-4354-AE6D-35C059CE0B6D}">
      <dgm:prSet/>
      <dgm:spPr/>
    </dgm:pt>
    <dgm:pt modelId="{1C31EA76-263C-4D93-BCF5-18FB86430A3F}" type="sibTrans" cxnId="{3BE64792-5901-4354-AE6D-35C059CE0B6D}">
      <dgm:prSet/>
      <dgm:spPr/>
    </dgm:pt>
    <dgm:pt modelId="{51CAAFF1-FE33-469A-A8D2-9B88A0898DA1}" type="pres">
      <dgm:prSet presAssocID="{97E59EDD-8EAE-427D-910C-A6C8424D2A77}" presName="arrowDiagram" presStyleCnt="0">
        <dgm:presLayoutVars>
          <dgm:chMax val="5"/>
          <dgm:dir/>
          <dgm:resizeHandles val="exact"/>
        </dgm:presLayoutVars>
      </dgm:prSet>
      <dgm:spPr/>
    </dgm:pt>
    <dgm:pt modelId="{273DC045-510D-4770-BA8B-907648AFC7E2}" type="pres">
      <dgm:prSet presAssocID="{97E59EDD-8EAE-427D-910C-A6C8424D2A77}" presName="arrow" presStyleLbl="bgShp" presStyleIdx="0" presStyleCnt="1"/>
      <dgm:spPr/>
    </dgm:pt>
    <dgm:pt modelId="{C1ADF987-3DED-432B-A66B-058FE4ED38D1}" type="pres">
      <dgm:prSet presAssocID="{97E59EDD-8EAE-427D-910C-A6C8424D2A77}" presName="arrowDiagram5" presStyleCnt="0"/>
      <dgm:spPr/>
    </dgm:pt>
    <dgm:pt modelId="{8690CAA8-BA52-4FE1-B5C6-59ED69BF10A3}" type="pres">
      <dgm:prSet presAssocID="{00FB8103-B2D0-46E8-A465-DFBA5B3245D0}" presName="bullet5a" presStyleLbl="node1" presStyleIdx="0" presStyleCnt="5"/>
      <dgm:spPr/>
    </dgm:pt>
    <dgm:pt modelId="{FA742408-F592-4465-BB87-FDA2A87C5B67}" type="pres">
      <dgm:prSet presAssocID="{00FB8103-B2D0-46E8-A465-DFBA5B3245D0}" presName="textBox5a" presStyleLbl="revTx" presStyleIdx="0" presStyleCnt="5">
        <dgm:presLayoutVars>
          <dgm:bulletEnabled val="1"/>
        </dgm:presLayoutVars>
      </dgm:prSet>
      <dgm:spPr/>
      <dgm:t>
        <a:bodyPr/>
        <a:lstStyle/>
        <a:p>
          <a:endParaRPr lang="en-AU"/>
        </a:p>
      </dgm:t>
    </dgm:pt>
    <dgm:pt modelId="{D0165D22-2C92-4E86-A217-73FC9329AA01}" type="pres">
      <dgm:prSet presAssocID="{7786A325-09C8-4904-AEF9-C60BDD78674A}" presName="bullet5b" presStyleLbl="node1" presStyleIdx="1" presStyleCnt="5"/>
      <dgm:spPr/>
    </dgm:pt>
    <dgm:pt modelId="{791E07E5-5041-474B-8282-097302C93AC3}" type="pres">
      <dgm:prSet presAssocID="{7786A325-09C8-4904-AEF9-C60BDD78674A}" presName="textBox5b" presStyleLbl="revTx" presStyleIdx="1" presStyleCnt="5">
        <dgm:presLayoutVars>
          <dgm:bulletEnabled val="1"/>
        </dgm:presLayoutVars>
      </dgm:prSet>
      <dgm:spPr/>
      <dgm:t>
        <a:bodyPr/>
        <a:lstStyle/>
        <a:p>
          <a:endParaRPr lang="en-AU"/>
        </a:p>
      </dgm:t>
    </dgm:pt>
    <dgm:pt modelId="{FC3D7429-8B0F-427C-B36A-3993653390FE}" type="pres">
      <dgm:prSet presAssocID="{12E97D5A-9358-4A05-BDC8-8F007C4373BE}" presName="bullet5c" presStyleLbl="node1" presStyleIdx="2" presStyleCnt="5"/>
      <dgm:spPr/>
    </dgm:pt>
    <dgm:pt modelId="{517730A2-64D5-4C20-B219-52E819E56897}" type="pres">
      <dgm:prSet presAssocID="{12E97D5A-9358-4A05-BDC8-8F007C4373BE}" presName="textBox5c" presStyleLbl="revTx" presStyleIdx="2" presStyleCnt="5">
        <dgm:presLayoutVars>
          <dgm:bulletEnabled val="1"/>
        </dgm:presLayoutVars>
      </dgm:prSet>
      <dgm:spPr/>
      <dgm:t>
        <a:bodyPr/>
        <a:lstStyle/>
        <a:p>
          <a:endParaRPr lang="en-AU"/>
        </a:p>
      </dgm:t>
    </dgm:pt>
    <dgm:pt modelId="{F014342D-FE1D-49EA-A4F2-3A25065D192D}" type="pres">
      <dgm:prSet presAssocID="{97D69A0E-88CE-4B17-AC8D-320C7763F27A}" presName="bullet5d" presStyleLbl="node1" presStyleIdx="3" presStyleCnt="5"/>
      <dgm:spPr/>
    </dgm:pt>
    <dgm:pt modelId="{21025025-D8F2-415F-8ACB-6E783FC8680F}" type="pres">
      <dgm:prSet presAssocID="{97D69A0E-88CE-4B17-AC8D-320C7763F27A}" presName="textBox5d" presStyleLbl="revTx" presStyleIdx="3" presStyleCnt="5">
        <dgm:presLayoutVars>
          <dgm:bulletEnabled val="1"/>
        </dgm:presLayoutVars>
      </dgm:prSet>
      <dgm:spPr/>
      <dgm:t>
        <a:bodyPr/>
        <a:lstStyle/>
        <a:p>
          <a:endParaRPr lang="en-AU"/>
        </a:p>
      </dgm:t>
    </dgm:pt>
    <dgm:pt modelId="{65B7F5CD-01D9-401E-AB41-70C3EE9728A8}" type="pres">
      <dgm:prSet presAssocID="{5EA20378-CBA1-47AE-8C75-0323D81B20FF}" presName="bullet5e" presStyleLbl="node1" presStyleIdx="4" presStyleCnt="5"/>
      <dgm:spPr/>
    </dgm:pt>
    <dgm:pt modelId="{7A6D6472-6D20-42E8-B0A7-1DF3CD8E69D5}" type="pres">
      <dgm:prSet presAssocID="{5EA20378-CBA1-47AE-8C75-0323D81B20FF}" presName="textBox5e" presStyleLbl="revTx" presStyleIdx="4" presStyleCnt="5">
        <dgm:presLayoutVars>
          <dgm:bulletEnabled val="1"/>
        </dgm:presLayoutVars>
      </dgm:prSet>
      <dgm:spPr/>
      <dgm:t>
        <a:bodyPr/>
        <a:lstStyle/>
        <a:p>
          <a:endParaRPr lang="en-AU"/>
        </a:p>
      </dgm:t>
    </dgm:pt>
  </dgm:ptLst>
  <dgm:cxnLst>
    <dgm:cxn modelId="{C741588D-3480-4B7F-93A4-06C706F7EDA4}" type="presOf" srcId="{5EA20378-CBA1-47AE-8C75-0323D81B20FF}" destId="{7A6D6472-6D20-42E8-B0A7-1DF3CD8E69D5}" srcOrd="0" destOrd="0" presId="urn:microsoft.com/office/officeart/2005/8/layout/arrow2"/>
    <dgm:cxn modelId="{56571915-4E16-4A13-A065-016E34DF517A}" type="presOf" srcId="{00FB8103-B2D0-46E8-A465-DFBA5B3245D0}" destId="{FA742408-F592-4465-BB87-FDA2A87C5B67}" srcOrd="0" destOrd="0" presId="urn:microsoft.com/office/officeart/2005/8/layout/arrow2"/>
    <dgm:cxn modelId="{653EF7D4-3EBC-4071-8E31-AE9B6F6151A1}" srcId="{97E59EDD-8EAE-427D-910C-A6C8424D2A77}" destId="{00FB8103-B2D0-46E8-A465-DFBA5B3245D0}" srcOrd="0" destOrd="0" parTransId="{58014A40-952F-4AA6-A45B-9F8B5A031FB3}" sibTransId="{61D55436-6C28-451D-9400-CF0F3A20E6B6}"/>
    <dgm:cxn modelId="{3BE64792-5901-4354-AE6D-35C059CE0B6D}" srcId="{97E59EDD-8EAE-427D-910C-A6C8424D2A77}" destId="{5EA20378-CBA1-47AE-8C75-0323D81B20FF}" srcOrd="4" destOrd="0" parTransId="{2B6982F9-C0F4-451F-8A9B-4C5571BB086B}" sibTransId="{1C31EA76-263C-4D93-BCF5-18FB86430A3F}"/>
    <dgm:cxn modelId="{44F61710-7B1A-4022-8475-9426B8AD1373}" type="presOf" srcId="{97E59EDD-8EAE-427D-910C-A6C8424D2A77}" destId="{51CAAFF1-FE33-469A-A8D2-9B88A0898DA1}" srcOrd="0" destOrd="0" presId="urn:microsoft.com/office/officeart/2005/8/layout/arrow2"/>
    <dgm:cxn modelId="{F705710D-ACE2-4F15-8282-803BCDBE11B4}" type="presOf" srcId="{97D69A0E-88CE-4B17-AC8D-320C7763F27A}" destId="{21025025-D8F2-415F-8ACB-6E783FC8680F}" srcOrd="0" destOrd="0" presId="urn:microsoft.com/office/officeart/2005/8/layout/arrow2"/>
    <dgm:cxn modelId="{6C6CD7C7-5358-4C06-9676-0CAE20990FCF}" srcId="{97E59EDD-8EAE-427D-910C-A6C8424D2A77}" destId="{97D69A0E-88CE-4B17-AC8D-320C7763F27A}" srcOrd="3" destOrd="0" parTransId="{C58210DB-2EE6-4A7C-913A-77F568B14F80}" sibTransId="{2E64DC2F-AFE5-4393-9C47-7B12D1E611CA}"/>
    <dgm:cxn modelId="{FF02E00D-9214-40AC-8ADA-6945A5A53587}" srcId="{97E59EDD-8EAE-427D-910C-A6C8424D2A77}" destId="{12E97D5A-9358-4A05-BDC8-8F007C4373BE}" srcOrd="2" destOrd="0" parTransId="{2CB0187D-1A3D-451A-92B3-237E2F47292F}" sibTransId="{A51CD9FF-B5D4-4723-BF78-820E61E3CBE3}"/>
    <dgm:cxn modelId="{D24A11F2-7B4F-4994-9D2F-C0B49CF05E5A}" type="presOf" srcId="{7786A325-09C8-4904-AEF9-C60BDD78674A}" destId="{791E07E5-5041-474B-8282-097302C93AC3}" srcOrd="0" destOrd="0" presId="urn:microsoft.com/office/officeart/2005/8/layout/arrow2"/>
    <dgm:cxn modelId="{AD88E837-EFF2-4A06-B093-933402DA7981}" type="presOf" srcId="{12E97D5A-9358-4A05-BDC8-8F007C4373BE}" destId="{517730A2-64D5-4C20-B219-52E819E56897}" srcOrd="0" destOrd="0" presId="urn:microsoft.com/office/officeart/2005/8/layout/arrow2"/>
    <dgm:cxn modelId="{5E58B014-28FB-4B4A-A876-532615F922EA}" srcId="{97E59EDD-8EAE-427D-910C-A6C8424D2A77}" destId="{7786A325-09C8-4904-AEF9-C60BDD78674A}" srcOrd="1" destOrd="0" parTransId="{DC0B2340-9699-4846-B93C-3EAD26A44A1C}" sibTransId="{1D6F6F4A-DB91-4B78-B570-851888B91969}"/>
    <dgm:cxn modelId="{F090AA05-7CF6-40FF-BF6B-A25BF7F0AC15}" type="presParOf" srcId="{51CAAFF1-FE33-469A-A8D2-9B88A0898DA1}" destId="{273DC045-510D-4770-BA8B-907648AFC7E2}" srcOrd="0" destOrd="0" presId="urn:microsoft.com/office/officeart/2005/8/layout/arrow2"/>
    <dgm:cxn modelId="{7078310A-383E-4026-A0AA-42DBAC974C05}" type="presParOf" srcId="{51CAAFF1-FE33-469A-A8D2-9B88A0898DA1}" destId="{C1ADF987-3DED-432B-A66B-058FE4ED38D1}" srcOrd="1" destOrd="0" presId="urn:microsoft.com/office/officeart/2005/8/layout/arrow2"/>
    <dgm:cxn modelId="{369CDEEB-4794-4FE8-9A1D-CDCDD690FAB1}" type="presParOf" srcId="{C1ADF987-3DED-432B-A66B-058FE4ED38D1}" destId="{8690CAA8-BA52-4FE1-B5C6-59ED69BF10A3}" srcOrd="0" destOrd="0" presId="urn:microsoft.com/office/officeart/2005/8/layout/arrow2"/>
    <dgm:cxn modelId="{398F54CE-D4AB-41F1-AD62-5C689ADEF09E}" type="presParOf" srcId="{C1ADF987-3DED-432B-A66B-058FE4ED38D1}" destId="{FA742408-F592-4465-BB87-FDA2A87C5B67}" srcOrd="1" destOrd="0" presId="urn:microsoft.com/office/officeart/2005/8/layout/arrow2"/>
    <dgm:cxn modelId="{B4E906EB-D22B-4690-AA92-E3B92841237B}" type="presParOf" srcId="{C1ADF987-3DED-432B-A66B-058FE4ED38D1}" destId="{D0165D22-2C92-4E86-A217-73FC9329AA01}" srcOrd="2" destOrd="0" presId="urn:microsoft.com/office/officeart/2005/8/layout/arrow2"/>
    <dgm:cxn modelId="{2A4FC1C8-A004-4D7E-B89B-A5C8C78C039F}" type="presParOf" srcId="{C1ADF987-3DED-432B-A66B-058FE4ED38D1}" destId="{791E07E5-5041-474B-8282-097302C93AC3}" srcOrd="3" destOrd="0" presId="urn:microsoft.com/office/officeart/2005/8/layout/arrow2"/>
    <dgm:cxn modelId="{29281008-CB5F-4C68-A6F0-F0DB86B338C3}" type="presParOf" srcId="{C1ADF987-3DED-432B-A66B-058FE4ED38D1}" destId="{FC3D7429-8B0F-427C-B36A-3993653390FE}" srcOrd="4" destOrd="0" presId="urn:microsoft.com/office/officeart/2005/8/layout/arrow2"/>
    <dgm:cxn modelId="{F16C2C51-81E2-4279-A71F-C804BDD85122}" type="presParOf" srcId="{C1ADF987-3DED-432B-A66B-058FE4ED38D1}" destId="{517730A2-64D5-4C20-B219-52E819E56897}" srcOrd="5" destOrd="0" presId="urn:microsoft.com/office/officeart/2005/8/layout/arrow2"/>
    <dgm:cxn modelId="{4EBEB6AA-208E-449C-87FF-0D6F7B1803E2}" type="presParOf" srcId="{C1ADF987-3DED-432B-A66B-058FE4ED38D1}" destId="{F014342D-FE1D-49EA-A4F2-3A25065D192D}" srcOrd="6" destOrd="0" presId="urn:microsoft.com/office/officeart/2005/8/layout/arrow2"/>
    <dgm:cxn modelId="{931E3B80-DA81-4D6B-8EC4-459F6E8AFF47}" type="presParOf" srcId="{C1ADF987-3DED-432B-A66B-058FE4ED38D1}" destId="{21025025-D8F2-415F-8ACB-6E783FC8680F}" srcOrd="7" destOrd="0" presId="urn:microsoft.com/office/officeart/2005/8/layout/arrow2"/>
    <dgm:cxn modelId="{5F0019C3-D803-4437-94AB-14479C2D519C}" type="presParOf" srcId="{C1ADF987-3DED-432B-A66B-058FE4ED38D1}" destId="{65B7F5CD-01D9-401E-AB41-70C3EE9728A8}" srcOrd="8" destOrd="0" presId="urn:microsoft.com/office/officeart/2005/8/layout/arrow2"/>
    <dgm:cxn modelId="{F538C222-8964-4F5D-AA0D-5CEB51EADBB7}" type="presParOf" srcId="{C1ADF987-3DED-432B-A66B-058FE4ED38D1}" destId="{7A6D6472-6D20-42E8-B0A7-1DF3CD8E69D5}" srcOrd="9" destOrd="0" presId="urn:microsoft.com/office/officeart/2005/8/layout/arrow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3DC045-510D-4770-BA8B-907648AFC7E2}">
      <dsp:nvSpPr>
        <dsp:cNvPr id="0" name=""/>
        <dsp:cNvSpPr/>
      </dsp:nvSpPr>
      <dsp:spPr>
        <a:xfrm>
          <a:off x="808892" y="0"/>
          <a:ext cx="2883876" cy="1802423"/>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690CAA8-BA52-4FE1-B5C6-59ED69BF10A3}">
      <dsp:nvSpPr>
        <dsp:cNvPr id="0" name=""/>
        <dsp:cNvSpPr/>
      </dsp:nvSpPr>
      <dsp:spPr>
        <a:xfrm>
          <a:off x="1092954" y="1340281"/>
          <a:ext cx="66329" cy="6632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A742408-F592-4465-BB87-FDA2A87C5B67}">
      <dsp:nvSpPr>
        <dsp:cNvPr id="0" name=""/>
        <dsp:cNvSpPr/>
      </dsp:nvSpPr>
      <dsp:spPr>
        <a:xfrm>
          <a:off x="1126119" y="1373446"/>
          <a:ext cx="377787" cy="4289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5146" tIns="0" rIns="0" bIns="0" numCol="1" spcCol="1270" anchor="t" anchorCtr="0">
          <a:noAutofit/>
        </a:bodyPr>
        <a:lstStyle/>
        <a:p>
          <a:pPr lvl="0" algn="l" defTabSz="355600">
            <a:lnSpc>
              <a:spcPct val="90000"/>
            </a:lnSpc>
            <a:spcBef>
              <a:spcPct val="0"/>
            </a:spcBef>
            <a:spcAft>
              <a:spcPct val="35000"/>
            </a:spcAft>
          </a:pPr>
          <a:r>
            <a:rPr lang="en-AU" sz="800" kern="1200"/>
            <a:t>Local Chiefs</a:t>
          </a:r>
        </a:p>
      </dsp:txBody>
      <dsp:txXfrm>
        <a:off x="1126119" y="1373446"/>
        <a:ext cx="377787" cy="428976"/>
      </dsp:txXfrm>
    </dsp:sp>
    <dsp:sp modelId="{D0165D22-2C92-4E86-A217-73FC9329AA01}">
      <dsp:nvSpPr>
        <dsp:cNvPr id="0" name=""/>
        <dsp:cNvSpPr/>
      </dsp:nvSpPr>
      <dsp:spPr>
        <a:xfrm>
          <a:off x="1451997" y="995297"/>
          <a:ext cx="103819" cy="10381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91E07E5-5041-474B-8282-097302C93AC3}">
      <dsp:nvSpPr>
        <dsp:cNvPr id="0" name=""/>
        <dsp:cNvSpPr/>
      </dsp:nvSpPr>
      <dsp:spPr>
        <a:xfrm>
          <a:off x="1503906" y="1047207"/>
          <a:ext cx="478723" cy="7552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5012" tIns="0" rIns="0" bIns="0" numCol="1" spcCol="1270" anchor="t" anchorCtr="0">
          <a:noAutofit/>
        </a:bodyPr>
        <a:lstStyle/>
        <a:p>
          <a:pPr lvl="0" algn="l" defTabSz="355600">
            <a:lnSpc>
              <a:spcPct val="90000"/>
            </a:lnSpc>
            <a:spcBef>
              <a:spcPct val="0"/>
            </a:spcBef>
            <a:spcAft>
              <a:spcPct val="35000"/>
            </a:spcAft>
          </a:pPr>
          <a:r>
            <a:rPr lang="en-AU" sz="800" kern="1200"/>
            <a:t>Local Court</a:t>
          </a:r>
        </a:p>
      </dsp:txBody>
      <dsp:txXfrm>
        <a:off x="1503906" y="1047207"/>
        <a:ext cx="478723" cy="755215"/>
      </dsp:txXfrm>
    </dsp:sp>
    <dsp:sp modelId="{FC3D7429-8B0F-427C-B36A-3993653390FE}">
      <dsp:nvSpPr>
        <dsp:cNvPr id="0" name=""/>
        <dsp:cNvSpPr/>
      </dsp:nvSpPr>
      <dsp:spPr>
        <a:xfrm>
          <a:off x="1913417" y="720248"/>
          <a:ext cx="138426" cy="13842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17730A2-64D5-4C20-B219-52E819E56897}">
      <dsp:nvSpPr>
        <dsp:cNvPr id="0" name=""/>
        <dsp:cNvSpPr/>
      </dsp:nvSpPr>
      <dsp:spPr>
        <a:xfrm>
          <a:off x="1982630" y="789461"/>
          <a:ext cx="556588" cy="10129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3349" tIns="0" rIns="0" bIns="0" numCol="1" spcCol="1270" anchor="t" anchorCtr="0">
          <a:noAutofit/>
        </a:bodyPr>
        <a:lstStyle/>
        <a:p>
          <a:pPr lvl="0" algn="l" defTabSz="355600">
            <a:lnSpc>
              <a:spcPct val="90000"/>
            </a:lnSpc>
            <a:spcBef>
              <a:spcPct val="0"/>
            </a:spcBef>
            <a:spcAft>
              <a:spcPct val="35000"/>
            </a:spcAft>
          </a:pPr>
          <a:r>
            <a:rPr lang="en-AU" sz="800" kern="1200"/>
            <a:t>Customary Land Appeal Court</a:t>
          </a:r>
        </a:p>
      </dsp:txBody>
      <dsp:txXfrm>
        <a:off x="1982630" y="789461"/>
        <a:ext cx="556588" cy="1012961"/>
      </dsp:txXfrm>
    </dsp:sp>
    <dsp:sp modelId="{F014342D-FE1D-49EA-A4F2-3A25065D192D}">
      <dsp:nvSpPr>
        <dsp:cNvPr id="0" name=""/>
        <dsp:cNvSpPr/>
      </dsp:nvSpPr>
      <dsp:spPr>
        <a:xfrm>
          <a:off x="2449818" y="505399"/>
          <a:ext cx="178800" cy="17880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1025025-D8F2-415F-8ACB-6E783FC8680F}">
      <dsp:nvSpPr>
        <dsp:cNvPr id="0" name=""/>
        <dsp:cNvSpPr/>
      </dsp:nvSpPr>
      <dsp:spPr>
        <a:xfrm>
          <a:off x="2539218" y="594799"/>
          <a:ext cx="576775" cy="12076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4743" tIns="0" rIns="0" bIns="0" numCol="1" spcCol="1270" anchor="t" anchorCtr="0">
          <a:noAutofit/>
        </a:bodyPr>
        <a:lstStyle/>
        <a:p>
          <a:pPr lvl="0" algn="l" defTabSz="355600">
            <a:lnSpc>
              <a:spcPct val="90000"/>
            </a:lnSpc>
            <a:spcBef>
              <a:spcPct val="0"/>
            </a:spcBef>
            <a:spcAft>
              <a:spcPct val="35000"/>
            </a:spcAft>
          </a:pPr>
          <a:r>
            <a:rPr lang="en-AU" sz="800" kern="1200"/>
            <a:t>High Court</a:t>
          </a:r>
        </a:p>
      </dsp:txBody>
      <dsp:txXfrm>
        <a:off x="2539218" y="594799"/>
        <a:ext cx="576775" cy="1207623"/>
      </dsp:txXfrm>
    </dsp:sp>
    <dsp:sp modelId="{65B7F5CD-01D9-401E-AB41-70C3EE9728A8}">
      <dsp:nvSpPr>
        <dsp:cNvPr id="0" name=""/>
        <dsp:cNvSpPr/>
      </dsp:nvSpPr>
      <dsp:spPr>
        <a:xfrm>
          <a:off x="3002080" y="361926"/>
          <a:ext cx="227826" cy="22782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6D6472-6D20-42E8-B0A7-1DF3CD8E69D5}">
      <dsp:nvSpPr>
        <dsp:cNvPr id="0" name=""/>
        <dsp:cNvSpPr/>
      </dsp:nvSpPr>
      <dsp:spPr>
        <a:xfrm>
          <a:off x="3115994" y="475839"/>
          <a:ext cx="576775" cy="13265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0720" tIns="0" rIns="0" bIns="0" numCol="1" spcCol="1270" anchor="t" anchorCtr="0">
          <a:noAutofit/>
        </a:bodyPr>
        <a:lstStyle/>
        <a:p>
          <a:pPr lvl="0" algn="l" defTabSz="355600">
            <a:lnSpc>
              <a:spcPct val="90000"/>
            </a:lnSpc>
            <a:spcBef>
              <a:spcPct val="0"/>
            </a:spcBef>
            <a:spcAft>
              <a:spcPct val="35000"/>
            </a:spcAft>
          </a:pPr>
          <a:r>
            <a:rPr lang="en-AU" sz="800" kern="1200"/>
            <a:t>Court of Appeal</a:t>
          </a:r>
        </a:p>
      </dsp:txBody>
      <dsp:txXfrm>
        <a:off x="3115994" y="475839"/>
        <a:ext cx="576775" cy="1326583"/>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79CC8-79C9-4501-9868-E27D2147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8703</Words>
  <Characters>47868</Characters>
  <Application>Microsoft Office Word</Application>
  <DocSecurity>0</DocSecurity>
  <Lines>398</Lines>
  <Paragraphs>112</Paragraphs>
  <ScaleCrop>false</ScaleCrop>
  <Company>Australian Red Cross</Company>
  <LinksUpToDate>false</LinksUpToDate>
  <CharactersWithSpaces>56459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Red Cross</dc:creator>
  <cp:lastModifiedBy>Australian Red Cross</cp:lastModifiedBy>
  <cp:revision>4</cp:revision>
  <dcterms:created xsi:type="dcterms:W3CDTF">2018-05-24T07:50:00Z</dcterms:created>
  <dcterms:modified xsi:type="dcterms:W3CDTF">2018-05-24T08:15:00Z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rrmm A0142579153v1 120641715 </vt:lpwstr>
  </property>
  <property fmtid="{D5CDD505-2E9C-101B-9397-08002B2CF9AE}" pid="3" name="DOCSDocNumber">
    <vt:lpwstr>42579153</vt:lpwstr>
  </property>
  <property fmtid="{D5CDD505-2E9C-101B-9397-08002B2CF9AE}" pid="4" name="DOCSDocumentID">
    <vt:lpwstr>A0142579153</vt:lpwstr>
  </property>
</Properties>
</file>