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030" w:rsidRPr="0099273D" w:rsidRDefault="00971448" w:rsidP="00971448">
      <w:pPr>
        <w:spacing w:after="0"/>
        <w:jc w:val="center"/>
        <w:rPr>
          <w:b/>
          <w:szCs w:val="22"/>
          <w:lang w:val="en-IE"/>
        </w:rPr>
      </w:pPr>
      <w:bookmarkStart w:id="0" w:name="_GoBack"/>
      <w:bookmarkEnd w:id="0"/>
      <w:r w:rsidRPr="0099273D">
        <w:rPr>
          <w:b/>
          <w:szCs w:val="22"/>
          <w:lang w:val="en-IE"/>
        </w:rPr>
        <w:t xml:space="preserve">DRAFT Meeting Minutes – </w:t>
      </w:r>
      <w:r w:rsidR="00247217" w:rsidRPr="0099273D">
        <w:rPr>
          <w:b/>
          <w:szCs w:val="22"/>
          <w:lang w:val="en-IE"/>
        </w:rPr>
        <w:t>Technical</w:t>
      </w:r>
      <w:r w:rsidRPr="0099273D">
        <w:rPr>
          <w:b/>
          <w:szCs w:val="22"/>
          <w:lang w:val="en-IE"/>
        </w:rPr>
        <w:t xml:space="preserve"> </w:t>
      </w:r>
      <w:r w:rsidR="00247217" w:rsidRPr="0099273D">
        <w:rPr>
          <w:b/>
          <w:szCs w:val="22"/>
          <w:lang w:val="en-IE"/>
        </w:rPr>
        <w:t>Assistance and Training</w:t>
      </w:r>
      <w:r w:rsidRPr="0099273D">
        <w:rPr>
          <w:b/>
          <w:szCs w:val="22"/>
          <w:lang w:val="en-IE"/>
        </w:rPr>
        <w:t xml:space="preserve"> TWG</w:t>
      </w:r>
    </w:p>
    <w:p w:rsidR="00971448" w:rsidRPr="0099273D" w:rsidRDefault="00971448" w:rsidP="00971448">
      <w:pPr>
        <w:spacing w:after="0"/>
        <w:jc w:val="center"/>
        <w:rPr>
          <w:b/>
          <w:szCs w:val="22"/>
          <w:lang w:val="en-IE"/>
        </w:rPr>
      </w:pPr>
      <w:r w:rsidRPr="0099273D">
        <w:rPr>
          <w:b/>
          <w:szCs w:val="22"/>
          <w:lang w:val="en-IE"/>
        </w:rPr>
        <w:t>June 8</w:t>
      </w:r>
      <w:r w:rsidRPr="0099273D">
        <w:rPr>
          <w:b/>
          <w:szCs w:val="22"/>
          <w:vertAlign w:val="superscript"/>
          <w:lang w:val="en-IE"/>
        </w:rPr>
        <w:t>th</w:t>
      </w:r>
      <w:r w:rsidRPr="0099273D">
        <w:rPr>
          <w:b/>
          <w:szCs w:val="22"/>
          <w:lang w:val="en-IE"/>
        </w:rPr>
        <w:t xml:space="preserve"> </w:t>
      </w:r>
    </w:p>
    <w:p w:rsidR="00247217" w:rsidRPr="0099273D" w:rsidRDefault="00247217" w:rsidP="00D4039B">
      <w:pPr>
        <w:rPr>
          <w:szCs w:val="22"/>
          <w:lang w:val="en-IE"/>
        </w:rPr>
      </w:pPr>
      <w:r w:rsidRPr="0099273D">
        <w:rPr>
          <w:b/>
          <w:szCs w:val="22"/>
          <w:lang w:val="en-IE"/>
        </w:rPr>
        <w:t xml:space="preserve">Agenda </w:t>
      </w:r>
    </w:p>
    <w:p w:rsidR="00247217" w:rsidRPr="0099273D" w:rsidRDefault="00247217" w:rsidP="00D4039B">
      <w:pPr>
        <w:pStyle w:val="ListParagraph"/>
        <w:numPr>
          <w:ilvl w:val="0"/>
          <w:numId w:val="14"/>
        </w:numPr>
        <w:rPr>
          <w:b/>
          <w:szCs w:val="22"/>
          <w:lang w:val="en-IE"/>
        </w:rPr>
      </w:pPr>
      <w:r w:rsidRPr="0099273D">
        <w:rPr>
          <w:b/>
          <w:szCs w:val="22"/>
          <w:lang w:val="en-IE"/>
        </w:rPr>
        <w:t>PDNA Update and Summary</w:t>
      </w:r>
    </w:p>
    <w:p w:rsidR="00247217" w:rsidRPr="0099273D" w:rsidRDefault="00247217" w:rsidP="00D4039B">
      <w:pPr>
        <w:pStyle w:val="ListParagraph"/>
        <w:numPr>
          <w:ilvl w:val="0"/>
          <w:numId w:val="14"/>
        </w:numPr>
        <w:rPr>
          <w:b/>
          <w:szCs w:val="22"/>
          <w:lang w:val="en-IE"/>
        </w:rPr>
      </w:pPr>
      <w:r w:rsidRPr="0099273D">
        <w:rPr>
          <w:b/>
          <w:szCs w:val="22"/>
          <w:lang w:val="en-IE"/>
        </w:rPr>
        <w:t>RED R – Introduction</w:t>
      </w:r>
    </w:p>
    <w:p w:rsidR="00247217" w:rsidRPr="0099273D" w:rsidRDefault="00247217" w:rsidP="00D4039B">
      <w:pPr>
        <w:pStyle w:val="ListParagraph"/>
        <w:numPr>
          <w:ilvl w:val="0"/>
          <w:numId w:val="14"/>
        </w:numPr>
        <w:rPr>
          <w:b/>
          <w:szCs w:val="22"/>
          <w:lang w:val="en-IE"/>
        </w:rPr>
      </w:pPr>
      <w:r w:rsidRPr="0099273D">
        <w:rPr>
          <w:b/>
          <w:szCs w:val="22"/>
          <w:lang w:val="en-IE"/>
        </w:rPr>
        <w:t>NSET Presentation</w:t>
      </w:r>
    </w:p>
    <w:p w:rsidR="00247217" w:rsidRPr="0099273D" w:rsidRDefault="00FA0D6A" w:rsidP="00D4039B">
      <w:pPr>
        <w:pStyle w:val="ListParagraph"/>
        <w:numPr>
          <w:ilvl w:val="0"/>
          <w:numId w:val="14"/>
        </w:numPr>
        <w:rPr>
          <w:b/>
          <w:szCs w:val="22"/>
          <w:lang w:val="en-IE"/>
        </w:rPr>
      </w:pPr>
      <w:r>
        <w:rPr>
          <w:b/>
          <w:szCs w:val="22"/>
          <w:lang w:val="en-IE"/>
        </w:rPr>
        <w:t>Six</w:t>
      </w:r>
      <w:r w:rsidR="00247217" w:rsidRPr="0099273D">
        <w:rPr>
          <w:b/>
          <w:szCs w:val="22"/>
          <w:lang w:val="en-IE"/>
        </w:rPr>
        <w:t xml:space="preserve"> Month </w:t>
      </w:r>
      <w:r w:rsidR="00971448" w:rsidRPr="0099273D">
        <w:rPr>
          <w:b/>
          <w:szCs w:val="22"/>
          <w:lang w:val="en-IE"/>
        </w:rPr>
        <w:t>Work Plan</w:t>
      </w:r>
    </w:p>
    <w:p w:rsidR="00247217" w:rsidRPr="0099273D" w:rsidRDefault="00247217" w:rsidP="00D4039B">
      <w:pPr>
        <w:pStyle w:val="ListParagraph"/>
        <w:numPr>
          <w:ilvl w:val="0"/>
          <w:numId w:val="14"/>
        </w:numPr>
        <w:rPr>
          <w:b/>
          <w:szCs w:val="22"/>
          <w:lang w:val="en-IE"/>
        </w:rPr>
      </w:pPr>
      <w:r w:rsidRPr="0099273D">
        <w:rPr>
          <w:b/>
          <w:szCs w:val="22"/>
          <w:lang w:val="en-IE"/>
        </w:rPr>
        <w:t>Mapping</w:t>
      </w:r>
      <w:r w:rsidR="00971448" w:rsidRPr="0099273D">
        <w:rPr>
          <w:b/>
          <w:szCs w:val="22"/>
          <w:lang w:val="en-IE"/>
        </w:rPr>
        <w:t xml:space="preserve"> of Expressions of Interest</w:t>
      </w:r>
    </w:p>
    <w:p w:rsidR="00247217" w:rsidRPr="0099273D" w:rsidRDefault="00971448" w:rsidP="00D4039B">
      <w:pPr>
        <w:pStyle w:val="ListParagraph"/>
        <w:numPr>
          <w:ilvl w:val="0"/>
          <w:numId w:val="14"/>
        </w:numPr>
        <w:rPr>
          <w:b/>
          <w:szCs w:val="22"/>
          <w:lang w:val="en-IE"/>
        </w:rPr>
      </w:pPr>
      <w:r w:rsidRPr="0099273D">
        <w:rPr>
          <w:b/>
          <w:szCs w:val="22"/>
          <w:lang w:val="en-IE"/>
        </w:rPr>
        <w:t>Communicating with Communities</w:t>
      </w:r>
    </w:p>
    <w:p w:rsidR="00247217" w:rsidRPr="0099273D" w:rsidRDefault="00247217" w:rsidP="00D4039B">
      <w:pPr>
        <w:pStyle w:val="ListParagraph"/>
        <w:numPr>
          <w:ilvl w:val="0"/>
          <w:numId w:val="14"/>
        </w:numPr>
        <w:rPr>
          <w:b/>
          <w:szCs w:val="22"/>
          <w:lang w:val="en-IE"/>
        </w:rPr>
      </w:pPr>
      <w:r w:rsidRPr="0099273D">
        <w:rPr>
          <w:b/>
          <w:szCs w:val="22"/>
          <w:lang w:val="en-IE"/>
        </w:rPr>
        <w:t>AOB</w:t>
      </w:r>
    </w:p>
    <w:p w:rsidR="00247217" w:rsidRPr="0099273D" w:rsidRDefault="00957975" w:rsidP="00D4039B">
      <w:pPr>
        <w:rPr>
          <w:b/>
          <w:szCs w:val="22"/>
          <w:lang w:val="en-IE"/>
        </w:rPr>
      </w:pPr>
      <w:r w:rsidRPr="0099273D">
        <w:rPr>
          <w:b/>
          <w:szCs w:val="22"/>
          <w:lang w:val="en-IE"/>
        </w:rPr>
        <w:t>_____________________________________________________________________________________</w:t>
      </w:r>
    </w:p>
    <w:p w:rsidR="00957975" w:rsidRPr="0099273D" w:rsidRDefault="00957975" w:rsidP="00D4039B">
      <w:pPr>
        <w:rPr>
          <w:b/>
          <w:szCs w:val="22"/>
          <w:lang w:val="en-IE"/>
        </w:rPr>
      </w:pPr>
      <w:r w:rsidRPr="0099273D">
        <w:rPr>
          <w:b/>
          <w:szCs w:val="22"/>
          <w:lang w:val="en-IE"/>
        </w:rPr>
        <w:t xml:space="preserve">1. PDNA Update and Summary </w:t>
      </w:r>
    </w:p>
    <w:p w:rsidR="00957975" w:rsidRPr="0099273D" w:rsidRDefault="00957975" w:rsidP="00971448">
      <w:pPr>
        <w:pStyle w:val="ListParagraph"/>
        <w:numPr>
          <w:ilvl w:val="0"/>
          <w:numId w:val="16"/>
        </w:numPr>
        <w:spacing w:after="0"/>
        <w:ind w:hanging="357"/>
        <w:contextualSpacing w:val="0"/>
        <w:rPr>
          <w:szCs w:val="22"/>
          <w:lang w:val="en-IE"/>
        </w:rPr>
      </w:pPr>
      <w:r w:rsidRPr="0099273D">
        <w:rPr>
          <w:szCs w:val="22"/>
          <w:lang w:val="en-IE"/>
        </w:rPr>
        <w:t>The PDNA is a methodology</w:t>
      </w:r>
      <w:r w:rsidR="00971448" w:rsidRPr="0099273D">
        <w:rPr>
          <w:szCs w:val="22"/>
          <w:lang w:val="en-IE"/>
        </w:rPr>
        <w:t>, developed over 15 years, that is</w:t>
      </w:r>
      <w:r w:rsidRPr="0099273D">
        <w:rPr>
          <w:szCs w:val="22"/>
          <w:lang w:val="en-IE"/>
        </w:rPr>
        <w:t xml:space="preserve"> used by Governments </w:t>
      </w:r>
      <w:r w:rsidR="00971448" w:rsidRPr="0099273D">
        <w:rPr>
          <w:szCs w:val="22"/>
          <w:lang w:val="en-IE"/>
        </w:rPr>
        <w:t xml:space="preserve">to determine the cost of </w:t>
      </w:r>
      <w:r w:rsidRPr="0099273D">
        <w:rPr>
          <w:szCs w:val="22"/>
          <w:lang w:val="en-IE"/>
        </w:rPr>
        <w:t>disasters</w:t>
      </w:r>
      <w:r w:rsidR="00971448" w:rsidRPr="0099273D">
        <w:rPr>
          <w:szCs w:val="22"/>
          <w:lang w:val="en-IE"/>
        </w:rPr>
        <w:t>, and as a planning tool for recovery and reconstruction</w:t>
      </w:r>
      <w:r w:rsidRPr="0099273D">
        <w:rPr>
          <w:szCs w:val="22"/>
          <w:lang w:val="en-IE"/>
        </w:rPr>
        <w:t>.</w:t>
      </w:r>
    </w:p>
    <w:p w:rsidR="00957975" w:rsidRPr="0099273D" w:rsidRDefault="00971448" w:rsidP="00971448">
      <w:pPr>
        <w:pStyle w:val="ListParagraph"/>
        <w:numPr>
          <w:ilvl w:val="0"/>
          <w:numId w:val="16"/>
        </w:numPr>
        <w:spacing w:after="0"/>
        <w:ind w:hanging="357"/>
        <w:contextualSpacing w:val="0"/>
        <w:rPr>
          <w:szCs w:val="22"/>
          <w:lang w:val="en-IE"/>
        </w:rPr>
      </w:pPr>
      <w:r w:rsidRPr="0099273D">
        <w:rPr>
          <w:szCs w:val="22"/>
          <w:lang w:val="en-IE"/>
        </w:rPr>
        <w:t>The GoN is leading the PDNA process</w:t>
      </w:r>
      <w:r w:rsidR="00957975" w:rsidRPr="0099273D">
        <w:rPr>
          <w:szCs w:val="22"/>
          <w:lang w:val="en-IE"/>
        </w:rPr>
        <w:t xml:space="preserve"> with the support of key </w:t>
      </w:r>
      <w:r w:rsidRPr="0099273D">
        <w:rPr>
          <w:szCs w:val="22"/>
          <w:lang w:val="en-IE"/>
        </w:rPr>
        <w:t xml:space="preserve">humanitarian and development </w:t>
      </w:r>
      <w:r w:rsidR="00957975" w:rsidRPr="0099273D">
        <w:rPr>
          <w:szCs w:val="22"/>
          <w:lang w:val="en-IE"/>
        </w:rPr>
        <w:t xml:space="preserve">partners </w:t>
      </w:r>
    </w:p>
    <w:p w:rsidR="00957975" w:rsidRPr="0099273D" w:rsidRDefault="00957975" w:rsidP="00971448">
      <w:pPr>
        <w:pStyle w:val="ListParagraph"/>
        <w:numPr>
          <w:ilvl w:val="0"/>
          <w:numId w:val="16"/>
        </w:numPr>
        <w:spacing w:after="0"/>
        <w:ind w:hanging="357"/>
        <w:contextualSpacing w:val="0"/>
        <w:rPr>
          <w:szCs w:val="22"/>
          <w:lang w:val="en-IE"/>
        </w:rPr>
      </w:pPr>
      <w:r w:rsidRPr="0099273D">
        <w:rPr>
          <w:szCs w:val="22"/>
          <w:lang w:val="en-IE"/>
        </w:rPr>
        <w:t>The purpose is to collectively quantify the impact of disasters on communities</w:t>
      </w:r>
      <w:r w:rsidR="00971448" w:rsidRPr="0099273D">
        <w:rPr>
          <w:szCs w:val="22"/>
          <w:lang w:val="en-IE"/>
        </w:rPr>
        <w:t xml:space="preserve">, </w:t>
      </w:r>
      <w:r w:rsidRPr="0099273D">
        <w:rPr>
          <w:szCs w:val="22"/>
          <w:lang w:val="en-IE"/>
        </w:rPr>
        <w:t>to develop a broad recovery strategy</w:t>
      </w:r>
      <w:r w:rsidR="00971448" w:rsidRPr="0099273D">
        <w:rPr>
          <w:szCs w:val="22"/>
          <w:lang w:val="en-IE"/>
        </w:rPr>
        <w:t>,</w:t>
      </w:r>
      <w:r w:rsidRPr="0099273D">
        <w:rPr>
          <w:szCs w:val="22"/>
          <w:lang w:val="en-IE"/>
        </w:rPr>
        <w:t xml:space="preserve"> and </w:t>
      </w:r>
      <w:r w:rsidR="00971448" w:rsidRPr="0099273D">
        <w:rPr>
          <w:szCs w:val="22"/>
          <w:lang w:val="en-IE"/>
        </w:rPr>
        <w:t xml:space="preserve">to </w:t>
      </w:r>
      <w:r w:rsidRPr="0099273D">
        <w:rPr>
          <w:szCs w:val="22"/>
          <w:lang w:val="en-IE"/>
        </w:rPr>
        <w:t>quantify recovery cost.</w:t>
      </w:r>
      <w:r w:rsidR="00971448" w:rsidRPr="0099273D">
        <w:rPr>
          <w:szCs w:val="22"/>
          <w:lang w:val="en-IE"/>
        </w:rPr>
        <w:t xml:space="preserve"> The PDNA report is prepared in time for the donor conference.</w:t>
      </w:r>
    </w:p>
    <w:p w:rsidR="00957975" w:rsidRPr="0099273D" w:rsidRDefault="00957975" w:rsidP="00971448">
      <w:pPr>
        <w:pStyle w:val="ListParagraph"/>
        <w:numPr>
          <w:ilvl w:val="0"/>
          <w:numId w:val="16"/>
        </w:numPr>
        <w:spacing w:after="0"/>
        <w:ind w:hanging="357"/>
        <w:contextualSpacing w:val="0"/>
        <w:rPr>
          <w:szCs w:val="22"/>
          <w:lang w:val="en-IE"/>
        </w:rPr>
      </w:pPr>
      <w:r w:rsidRPr="0099273D">
        <w:rPr>
          <w:szCs w:val="22"/>
          <w:lang w:val="en-IE"/>
        </w:rPr>
        <w:t>There are 2 main calculations, disaster impact and needs</w:t>
      </w:r>
      <w:r w:rsidR="00971448" w:rsidRPr="0099273D">
        <w:rPr>
          <w:szCs w:val="22"/>
          <w:lang w:val="en-IE"/>
        </w:rPr>
        <w:t>; needs are not just what has been lost, but also what is required in terms of recovery and reconstruction</w:t>
      </w:r>
      <w:r w:rsidRPr="0099273D">
        <w:rPr>
          <w:szCs w:val="22"/>
          <w:lang w:val="en-IE"/>
        </w:rPr>
        <w:t xml:space="preserve">. </w:t>
      </w:r>
    </w:p>
    <w:p w:rsidR="00957975" w:rsidRPr="0099273D" w:rsidRDefault="00971448" w:rsidP="00971448">
      <w:pPr>
        <w:pStyle w:val="ListParagraph"/>
        <w:numPr>
          <w:ilvl w:val="0"/>
          <w:numId w:val="16"/>
        </w:numPr>
        <w:spacing w:after="0"/>
        <w:ind w:hanging="357"/>
        <w:contextualSpacing w:val="0"/>
        <w:rPr>
          <w:szCs w:val="22"/>
          <w:lang w:val="en-IE"/>
        </w:rPr>
      </w:pPr>
      <w:r w:rsidRPr="0099273D">
        <w:rPr>
          <w:szCs w:val="22"/>
          <w:lang w:val="en-IE"/>
        </w:rPr>
        <w:t xml:space="preserve">There are 23 sector working groups in the </w:t>
      </w:r>
      <w:r w:rsidR="00957975" w:rsidRPr="0099273D">
        <w:rPr>
          <w:szCs w:val="22"/>
          <w:lang w:val="en-IE"/>
        </w:rPr>
        <w:t>PDNA</w:t>
      </w:r>
      <w:r w:rsidRPr="0099273D">
        <w:rPr>
          <w:szCs w:val="22"/>
          <w:lang w:val="en-IE"/>
        </w:rPr>
        <w:t xml:space="preserve">. The Housing, Land, and Settlements sector working group, is led by NPC with the World Bank as the co-lead. </w:t>
      </w:r>
    </w:p>
    <w:p w:rsidR="00C52633" w:rsidRPr="0099273D" w:rsidRDefault="0099273D" w:rsidP="00971448">
      <w:pPr>
        <w:pStyle w:val="ListParagraph"/>
        <w:numPr>
          <w:ilvl w:val="0"/>
          <w:numId w:val="16"/>
        </w:numPr>
        <w:spacing w:after="0"/>
        <w:ind w:hanging="357"/>
        <w:contextualSpacing w:val="0"/>
        <w:rPr>
          <w:szCs w:val="22"/>
          <w:lang w:val="en-IE"/>
        </w:rPr>
      </w:pPr>
      <w:r w:rsidRPr="0099273D">
        <w:rPr>
          <w:szCs w:val="22"/>
          <w:lang w:val="en-IE"/>
        </w:rPr>
        <w:t>The f</w:t>
      </w:r>
      <w:r w:rsidR="00C52633" w:rsidRPr="0099273D">
        <w:rPr>
          <w:szCs w:val="22"/>
          <w:lang w:val="en-IE"/>
        </w:rPr>
        <w:t>inal draft of the PDNA</w:t>
      </w:r>
      <w:r w:rsidRPr="0099273D">
        <w:rPr>
          <w:szCs w:val="22"/>
          <w:lang w:val="en-IE"/>
        </w:rPr>
        <w:t xml:space="preserve"> report</w:t>
      </w:r>
      <w:r w:rsidR="00C52633" w:rsidRPr="0099273D">
        <w:rPr>
          <w:szCs w:val="22"/>
          <w:lang w:val="en-IE"/>
        </w:rPr>
        <w:t xml:space="preserve"> is due June 10</w:t>
      </w:r>
      <w:r w:rsidR="00C52633" w:rsidRPr="0099273D">
        <w:rPr>
          <w:szCs w:val="22"/>
          <w:vertAlign w:val="superscript"/>
          <w:lang w:val="en-IE"/>
        </w:rPr>
        <w:t>th</w:t>
      </w:r>
      <w:r w:rsidRPr="0099273D">
        <w:rPr>
          <w:szCs w:val="22"/>
          <w:lang w:val="en-IE"/>
        </w:rPr>
        <w:t xml:space="preserve"> and there will be a consultative review process including NGOs and civil society. </w:t>
      </w:r>
      <w:r w:rsidR="00484673" w:rsidRPr="0099273D">
        <w:rPr>
          <w:szCs w:val="22"/>
          <w:lang w:val="en-IE"/>
        </w:rPr>
        <w:t>As there will be only 6 days to review and finalise the document it will have to be extremely rapid. Shelter cluster can facilitate collaborative review by shelter cluster partners.</w:t>
      </w:r>
    </w:p>
    <w:p w:rsidR="00C52633" w:rsidRPr="0099273D" w:rsidRDefault="0099273D" w:rsidP="00971448">
      <w:pPr>
        <w:pStyle w:val="ListParagraph"/>
        <w:numPr>
          <w:ilvl w:val="0"/>
          <w:numId w:val="16"/>
        </w:numPr>
        <w:spacing w:after="0"/>
        <w:ind w:hanging="357"/>
        <w:contextualSpacing w:val="0"/>
        <w:rPr>
          <w:szCs w:val="22"/>
          <w:lang w:val="en-IE"/>
        </w:rPr>
      </w:pPr>
      <w:r w:rsidRPr="0099273D">
        <w:rPr>
          <w:szCs w:val="22"/>
          <w:lang w:val="en-IE"/>
        </w:rPr>
        <w:t>The f</w:t>
      </w:r>
      <w:r w:rsidR="00C52633" w:rsidRPr="0099273D">
        <w:rPr>
          <w:szCs w:val="22"/>
          <w:lang w:val="en-IE"/>
        </w:rPr>
        <w:t xml:space="preserve">inal report </w:t>
      </w:r>
      <w:r w:rsidRPr="0099273D">
        <w:rPr>
          <w:szCs w:val="22"/>
          <w:lang w:val="en-IE"/>
        </w:rPr>
        <w:t>will be</w:t>
      </w:r>
      <w:r w:rsidR="00C52633" w:rsidRPr="0099273D">
        <w:rPr>
          <w:szCs w:val="22"/>
          <w:lang w:val="en-IE"/>
        </w:rPr>
        <w:t xml:space="preserve"> released on June 16</w:t>
      </w:r>
      <w:r w:rsidR="00C52633" w:rsidRPr="0099273D">
        <w:rPr>
          <w:szCs w:val="22"/>
          <w:vertAlign w:val="superscript"/>
          <w:lang w:val="en-IE"/>
        </w:rPr>
        <w:t>th</w:t>
      </w:r>
      <w:r w:rsidRPr="0099273D">
        <w:rPr>
          <w:szCs w:val="22"/>
          <w:lang w:val="en-IE"/>
        </w:rPr>
        <w:t xml:space="preserve"> and will be used by the GoN to support budget planning for the coming year</w:t>
      </w:r>
    </w:p>
    <w:p w:rsidR="00C52633" w:rsidRPr="0099273D" w:rsidRDefault="00C52633" w:rsidP="00971448">
      <w:pPr>
        <w:pStyle w:val="ListParagraph"/>
        <w:numPr>
          <w:ilvl w:val="0"/>
          <w:numId w:val="16"/>
        </w:numPr>
        <w:spacing w:after="0"/>
        <w:ind w:hanging="357"/>
        <w:contextualSpacing w:val="0"/>
        <w:rPr>
          <w:szCs w:val="22"/>
          <w:lang w:val="en-IE"/>
        </w:rPr>
      </w:pPr>
      <w:r w:rsidRPr="0099273D">
        <w:rPr>
          <w:szCs w:val="22"/>
          <w:lang w:val="en-IE"/>
        </w:rPr>
        <w:t>Questions</w:t>
      </w:r>
    </w:p>
    <w:p w:rsidR="00C52633" w:rsidRPr="0099273D" w:rsidRDefault="00C52633" w:rsidP="00971448">
      <w:pPr>
        <w:pStyle w:val="ListParagraph"/>
        <w:numPr>
          <w:ilvl w:val="1"/>
          <w:numId w:val="16"/>
        </w:numPr>
        <w:spacing w:after="0"/>
        <w:ind w:hanging="357"/>
        <w:contextualSpacing w:val="0"/>
        <w:rPr>
          <w:szCs w:val="22"/>
          <w:lang w:val="en-IE"/>
        </w:rPr>
      </w:pPr>
      <w:r w:rsidRPr="0099273D">
        <w:rPr>
          <w:szCs w:val="22"/>
          <w:lang w:val="en-IE"/>
        </w:rPr>
        <w:t>Q: How is the data collected?</w:t>
      </w:r>
    </w:p>
    <w:p w:rsidR="00C52633" w:rsidRPr="0099273D" w:rsidRDefault="00C52633" w:rsidP="00971448">
      <w:pPr>
        <w:pStyle w:val="ListParagraph"/>
        <w:numPr>
          <w:ilvl w:val="2"/>
          <w:numId w:val="16"/>
        </w:numPr>
        <w:spacing w:after="0"/>
        <w:ind w:hanging="357"/>
        <w:contextualSpacing w:val="0"/>
        <w:rPr>
          <w:szCs w:val="22"/>
          <w:lang w:val="en-IE"/>
        </w:rPr>
      </w:pPr>
      <w:r w:rsidRPr="0099273D">
        <w:rPr>
          <w:szCs w:val="22"/>
          <w:lang w:val="en-IE"/>
        </w:rPr>
        <w:t xml:space="preserve">A: </w:t>
      </w:r>
      <w:proofErr w:type="spellStart"/>
      <w:r w:rsidRPr="0099273D">
        <w:rPr>
          <w:szCs w:val="22"/>
          <w:lang w:val="en-IE"/>
        </w:rPr>
        <w:t>MoHA</w:t>
      </w:r>
      <w:proofErr w:type="spellEnd"/>
      <w:r w:rsidRPr="0099273D">
        <w:rPr>
          <w:szCs w:val="22"/>
          <w:lang w:val="en-IE"/>
        </w:rPr>
        <w:t xml:space="preserve"> was the main data source along with the Ministry of Federal Affairs. Some field teams were used as well.</w:t>
      </w:r>
      <w:r w:rsidR="0099273D" w:rsidRPr="0099273D">
        <w:rPr>
          <w:szCs w:val="22"/>
          <w:lang w:val="en-IE"/>
        </w:rPr>
        <w:t xml:space="preserve"> The PDNA draws on existing information resources and does not conduct particular assessments.</w:t>
      </w:r>
    </w:p>
    <w:p w:rsidR="00D211ED" w:rsidRPr="0099273D" w:rsidRDefault="0099273D" w:rsidP="00D4039B">
      <w:pPr>
        <w:rPr>
          <w:b/>
          <w:szCs w:val="22"/>
          <w:lang w:val="en-IE"/>
        </w:rPr>
      </w:pPr>
      <w:r w:rsidRPr="0099273D">
        <w:rPr>
          <w:b/>
          <w:szCs w:val="22"/>
          <w:lang w:val="en-IE"/>
        </w:rPr>
        <w:t>2. Red</w:t>
      </w:r>
      <w:r w:rsidR="00D211ED" w:rsidRPr="0099273D">
        <w:rPr>
          <w:b/>
          <w:szCs w:val="22"/>
          <w:lang w:val="en-IE"/>
        </w:rPr>
        <w:t>R</w:t>
      </w:r>
    </w:p>
    <w:p w:rsidR="00D211ED" w:rsidRPr="0099273D" w:rsidRDefault="0099273D" w:rsidP="00DC1B96">
      <w:pPr>
        <w:pStyle w:val="ListParagraph"/>
        <w:numPr>
          <w:ilvl w:val="0"/>
          <w:numId w:val="17"/>
        </w:numPr>
        <w:rPr>
          <w:szCs w:val="22"/>
          <w:lang w:val="en-IE"/>
        </w:rPr>
      </w:pPr>
      <w:r w:rsidRPr="0099273D">
        <w:rPr>
          <w:szCs w:val="22"/>
          <w:lang w:val="en-IE"/>
        </w:rPr>
        <w:t>Red</w:t>
      </w:r>
      <w:r w:rsidR="00D211ED" w:rsidRPr="0099273D">
        <w:rPr>
          <w:szCs w:val="22"/>
          <w:lang w:val="en-IE"/>
        </w:rPr>
        <w:t>R India is a</w:t>
      </w:r>
      <w:r w:rsidRPr="0099273D">
        <w:rPr>
          <w:szCs w:val="22"/>
          <w:lang w:val="en-IE"/>
        </w:rPr>
        <w:t xml:space="preserve"> branch of RedR International and </w:t>
      </w:r>
      <w:r w:rsidR="00D211ED" w:rsidRPr="0099273D">
        <w:rPr>
          <w:szCs w:val="22"/>
          <w:lang w:val="en-IE"/>
        </w:rPr>
        <w:t>aim</w:t>
      </w:r>
      <w:r w:rsidRPr="0099273D">
        <w:rPr>
          <w:szCs w:val="22"/>
          <w:lang w:val="en-IE"/>
        </w:rPr>
        <w:t>s</w:t>
      </w:r>
      <w:r w:rsidR="00D211ED" w:rsidRPr="0099273D">
        <w:rPr>
          <w:szCs w:val="22"/>
          <w:lang w:val="en-IE"/>
        </w:rPr>
        <w:t xml:space="preserve"> to </w:t>
      </w:r>
      <w:r w:rsidRPr="0099273D">
        <w:rPr>
          <w:szCs w:val="22"/>
          <w:lang w:val="en-IE"/>
        </w:rPr>
        <w:t>support</w:t>
      </w:r>
      <w:r w:rsidR="00D211ED" w:rsidRPr="0099273D">
        <w:rPr>
          <w:szCs w:val="22"/>
          <w:lang w:val="en-IE"/>
        </w:rPr>
        <w:t xml:space="preserve"> humanitarian capacity building </w:t>
      </w:r>
      <w:r w:rsidRPr="0099273D">
        <w:rPr>
          <w:szCs w:val="22"/>
          <w:lang w:val="en-IE"/>
        </w:rPr>
        <w:t>across</w:t>
      </w:r>
      <w:r w:rsidR="00D211ED" w:rsidRPr="0099273D">
        <w:rPr>
          <w:szCs w:val="22"/>
          <w:lang w:val="en-IE"/>
        </w:rPr>
        <w:t xml:space="preserve"> all sectors.</w:t>
      </w:r>
    </w:p>
    <w:p w:rsidR="00D211ED" w:rsidRPr="0099273D" w:rsidRDefault="0099273D" w:rsidP="00F82764">
      <w:pPr>
        <w:pStyle w:val="ListParagraph"/>
        <w:numPr>
          <w:ilvl w:val="0"/>
          <w:numId w:val="17"/>
        </w:numPr>
        <w:rPr>
          <w:szCs w:val="22"/>
          <w:lang w:val="en-IE"/>
        </w:rPr>
      </w:pPr>
      <w:r w:rsidRPr="0099273D">
        <w:rPr>
          <w:szCs w:val="22"/>
          <w:lang w:val="en-IE"/>
        </w:rPr>
        <w:lastRenderedPageBreak/>
        <w:t xml:space="preserve">Can deliver Training of Trainers, as well as direct training at all levels of staff, as well as across all </w:t>
      </w:r>
      <w:r w:rsidR="00D211ED" w:rsidRPr="0099273D">
        <w:rPr>
          <w:szCs w:val="22"/>
          <w:lang w:val="en-IE"/>
        </w:rPr>
        <w:t xml:space="preserve">stages of recovery. </w:t>
      </w:r>
      <w:r w:rsidRPr="0099273D">
        <w:rPr>
          <w:szCs w:val="22"/>
          <w:lang w:val="en-IE"/>
        </w:rPr>
        <w:t>Red</w:t>
      </w:r>
      <w:r w:rsidR="00D211ED" w:rsidRPr="0099273D">
        <w:rPr>
          <w:szCs w:val="22"/>
          <w:lang w:val="en-IE"/>
        </w:rPr>
        <w:t xml:space="preserve">R </w:t>
      </w:r>
      <w:r w:rsidRPr="0099273D">
        <w:rPr>
          <w:szCs w:val="22"/>
          <w:lang w:val="en-IE"/>
        </w:rPr>
        <w:t xml:space="preserve">India </w:t>
      </w:r>
      <w:r w:rsidR="00D211ED" w:rsidRPr="0099273D">
        <w:rPr>
          <w:szCs w:val="22"/>
          <w:lang w:val="en-IE"/>
        </w:rPr>
        <w:t xml:space="preserve">also </w:t>
      </w:r>
      <w:r w:rsidRPr="0099273D">
        <w:rPr>
          <w:szCs w:val="22"/>
          <w:lang w:val="en-IE"/>
        </w:rPr>
        <w:t>has experience providing training on coordination</w:t>
      </w:r>
      <w:r w:rsidR="00D211ED" w:rsidRPr="0099273D">
        <w:rPr>
          <w:szCs w:val="22"/>
          <w:lang w:val="en-IE"/>
        </w:rPr>
        <w:t xml:space="preserve"> support </w:t>
      </w:r>
      <w:r w:rsidRPr="0099273D">
        <w:rPr>
          <w:szCs w:val="22"/>
          <w:lang w:val="en-IE"/>
        </w:rPr>
        <w:t>to</w:t>
      </w:r>
      <w:r w:rsidR="00D211ED" w:rsidRPr="0099273D">
        <w:rPr>
          <w:szCs w:val="22"/>
          <w:lang w:val="en-IE"/>
        </w:rPr>
        <w:t xml:space="preserve"> government </w:t>
      </w:r>
      <w:r w:rsidRPr="0099273D">
        <w:rPr>
          <w:szCs w:val="22"/>
          <w:lang w:val="en-IE"/>
        </w:rPr>
        <w:t xml:space="preserve">agencies </w:t>
      </w:r>
      <w:r w:rsidR="00D211ED" w:rsidRPr="0099273D">
        <w:rPr>
          <w:szCs w:val="22"/>
          <w:lang w:val="en-IE"/>
        </w:rPr>
        <w:t>following disasters.</w:t>
      </w:r>
    </w:p>
    <w:p w:rsidR="00D211ED" w:rsidRPr="0099273D" w:rsidRDefault="00D211ED" w:rsidP="00D4039B">
      <w:pPr>
        <w:rPr>
          <w:b/>
          <w:szCs w:val="22"/>
          <w:lang w:val="en-IE"/>
        </w:rPr>
      </w:pPr>
      <w:r w:rsidRPr="0099273D">
        <w:rPr>
          <w:b/>
          <w:szCs w:val="22"/>
          <w:lang w:val="en-IE"/>
        </w:rPr>
        <w:t>3. NSET Presentation</w:t>
      </w:r>
    </w:p>
    <w:p w:rsidR="0099273D" w:rsidRPr="0099273D" w:rsidRDefault="0099273D" w:rsidP="00D4039B">
      <w:pPr>
        <w:pStyle w:val="ListParagraph"/>
        <w:numPr>
          <w:ilvl w:val="0"/>
          <w:numId w:val="18"/>
        </w:numPr>
        <w:rPr>
          <w:szCs w:val="22"/>
          <w:lang w:val="en-IE"/>
        </w:rPr>
      </w:pPr>
      <w:r w:rsidRPr="0099273D">
        <w:rPr>
          <w:szCs w:val="22"/>
          <w:lang w:val="en-IE"/>
        </w:rPr>
        <w:t>Recap of presentation delivered during TWG on 24</w:t>
      </w:r>
      <w:r w:rsidRPr="0099273D">
        <w:rPr>
          <w:szCs w:val="22"/>
          <w:vertAlign w:val="superscript"/>
          <w:lang w:val="en-IE"/>
        </w:rPr>
        <w:t>th</w:t>
      </w:r>
      <w:r w:rsidRPr="0099273D">
        <w:rPr>
          <w:szCs w:val="22"/>
          <w:lang w:val="en-IE"/>
        </w:rPr>
        <w:t xml:space="preserve"> May</w:t>
      </w:r>
    </w:p>
    <w:p w:rsidR="00D0413B" w:rsidRPr="0099273D" w:rsidRDefault="0099273D" w:rsidP="00D4039B">
      <w:pPr>
        <w:pStyle w:val="ListParagraph"/>
        <w:numPr>
          <w:ilvl w:val="0"/>
          <w:numId w:val="18"/>
        </w:numPr>
        <w:rPr>
          <w:szCs w:val="22"/>
          <w:lang w:val="en-IE"/>
        </w:rPr>
      </w:pPr>
      <w:r w:rsidRPr="0099273D">
        <w:rPr>
          <w:szCs w:val="22"/>
          <w:lang w:val="en-IE"/>
        </w:rPr>
        <w:t xml:space="preserve">Reemphasised the </w:t>
      </w:r>
      <w:r>
        <w:rPr>
          <w:szCs w:val="22"/>
          <w:lang w:val="en-IE"/>
        </w:rPr>
        <w:t>importance of ensuring coherent technical assistance, especially important due to scale of reconstruction required</w:t>
      </w:r>
    </w:p>
    <w:p w:rsidR="00D0413B" w:rsidRPr="00FA0D6A" w:rsidRDefault="00D0413B" w:rsidP="00FA0D6A">
      <w:pPr>
        <w:pStyle w:val="ListParagraph"/>
        <w:numPr>
          <w:ilvl w:val="0"/>
          <w:numId w:val="18"/>
        </w:numPr>
        <w:rPr>
          <w:szCs w:val="22"/>
          <w:lang w:val="en-IE"/>
        </w:rPr>
      </w:pPr>
      <w:r w:rsidRPr="0099273D">
        <w:rPr>
          <w:szCs w:val="22"/>
          <w:lang w:val="en-IE"/>
        </w:rPr>
        <w:t>Dec</w:t>
      </w:r>
      <w:r w:rsidR="0099273D">
        <w:rPr>
          <w:szCs w:val="22"/>
          <w:lang w:val="en-IE"/>
        </w:rPr>
        <w:t>entralis</w:t>
      </w:r>
      <w:r w:rsidRPr="0099273D">
        <w:rPr>
          <w:szCs w:val="22"/>
          <w:lang w:val="en-IE"/>
        </w:rPr>
        <w:t>ation of technical information is one of the first steps</w:t>
      </w:r>
      <w:r w:rsidR="00FA0D6A">
        <w:rPr>
          <w:szCs w:val="22"/>
          <w:lang w:val="en-IE"/>
        </w:rPr>
        <w:t xml:space="preserve">; four levels of Reconstruction Technology Centres, 1. National, 2. District, 3. Local, 4. Mobile </w:t>
      </w:r>
    </w:p>
    <w:p w:rsidR="00D0413B" w:rsidRPr="0099273D" w:rsidRDefault="00FA0D6A" w:rsidP="00D4039B">
      <w:pPr>
        <w:pStyle w:val="ListParagraph"/>
        <w:numPr>
          <w:ilvl w:val="0"/>
          <w:numId w:val="18"/>
        </w:numPr>
        <w:rPr>
          <w:szCs w:val="22"/>
          <w:lang w:val="en-IE"/>
        </w:rPr>
      </w:pPr>
      <w:r>
        <w:rPr>
          <w:szCs w:val="22"/>
          <w:lang w:val="en-IE"/>
        </w:rPr>
        <w:t>Presentation included diagram representing suggested overall framework, initial esti</w:t>
      </w:r>
      <w:r w:rsidR="005142D0">
        <w:rPr>
          <w:szCs w:val="22"/>
          <w:lang w:val="en-IE"/>
        </w:rPr>
        <w:t>mates of staffing requirements</w:t>
      </w:r>
    </w:p>
    <w:p w:rsidR="00D0413B" w:rsidRPr="0099273D" w:rsidRDefault="00D0413B" w:rsidP="00D4039B">
      <w:pPr>
        <w:rPr>
          <w:b/>
          <w:szCs w:val="22"/>
          <w:lang w:val="en-IE"/>
        </w:rPr>
      </w:pPr>
      <w:r w:rsidRPr="0099273D">
        <w:rPr>
          <w:b/>
          <w:szCs w:val="22"/>
          <w:lang w:val="en-IE"/>
        </w:rPr>
        <w:t xml:space="preserve">4. </w:t>
      </w:r>
      <w:r w:rsidR="00971448" w:rsidRPr="0099273D">
        <w:rPr>
          <w:b/>
          <w:szCs w:val="22"/>
          <w:lang w:val="en-IE"/>
        </w:rPr>
        <w:t>Six Month</w:t>
      </w:r>
      <w:r w:rsidRPr="0099273D">
        <w:rPr>
          <w:b/>
          <w:szCs w:val="22"/>
          <w:lang w:val="en-IE"/>
        </w:rPr>
        <w:t xml:space="preserve"> </w:t>
      </w:r>
      <w:r w:rsidR="00971448" w:rsidRPr="0099273D">
        <w:rPr>
          <w:b/>
          <w:szCs w:val="22"/>
          <w:lang w:val="en-IE"/>
        </w:rPr>
        <w:t>Work Plan</w:t>
      </w:r>
    </w:p>
    <w:p w:rsidR="00ED59AB" w:rsidRDefault="00ED59AB" w:rsidP="00D4039B">
      <w:pPr>
        <w:pStyle w:val="ListParagraph"/>
        <w:numPr>
          <w:ilvl w:val="0"/>
          <w:numId w:val="19"/>
        </w:numPr>
        <w:rPr>
          <w:szCs w:val="22"/>
          <w:lang w:val="en-IE"/>
        </w:rPr>
      </w:pPr>
      <w:r>
        <w:rPr>
          <w:szCs w:val="22"/>
          <w:lang w:val="en-IE"/>
        </w:rPr>
        <w:t xml:space="preserve">Many agencies taking part in the technical assistance and training TWG are interested in and planning activities to support early </w:t>
      </w:r>
      <w:r w:rsidR="005142D0">
        <w:rPr>
          <w:szCs w:val="22"/>
          <w:lang w:val="en-IE"/>
        </w:rPr>
        <w:t>self-recovery</w:t>
      </w:r>
      <w:r>
        <w:rPr>
          <w:szCs w:val="22"/>
          <w:lang w:val="en-IE"/>
        </w:rPr>
        <w:t xml:space="preserve"> over the coming months parallel with their shelter programming. </w:t>
      </w:r>
    </w:p>
    <w:p w:rsidR="00FC6128" w:rsidRPr="005142D0" w:rsidRDefault="00ED59AB" w:rsidP="00FC6128">
      <w:pPr>
        <w:pStyle w:val="ListParagraph"/>
        <w:numPr>
          <w:ilvl w:val="0"/>
          <w:numId w:val="19"/>
        </w:numPr>
        <w:rPr>
          <w:b/>
          <w:szCs w:val="22"/>
          <w:lang w:val="en-IE"/>
        </w:rPr>
      </w:pPr>
      <w:r>
        <w:rPr>
          <w:szCs w:val="22"/>
          <w:lang w:val="en-IE"/>
        </w:rPr>
        <w:t>We wo</w:t>
      </w:r>
      <w:r w:rsidR="00FC6128">
        <w:rPr>
          <w:szCs w:val="22"/>
          <w:lang w:val="en-IE"/>
        </w:rPr>
        <w:t xml:space="preserve">uld like to develop a strategy articulating the cluster position in relation to supporting reconstruction and to develop an outline 6 month work plan to capture agencies activities, capacities and coverage until the end of the year. </w:t>
      </w:r>
    </w:p>
    <w:p w:rsidR="00FC6128" w:rsidRDefault="00FC6128" w:rsidP="00FC6128">
      <w:pPr>
        <w:pStyle w:val="ListParagraph"/>
        <w:numPr>
          <w:ilvl w:val="0"/>
          <w:numId w:val="19"/>
        </w:numPr>
        <w:rPr>
          <w:szCs w:val="22"/>
          <w:lang w:val="en-IE"/>
        </w:rPr>
      </w:pPr>
      <w:r>
        <w:rPr>
          <w:szCs w:val="22"/>
          <w:lang w:val="en-IE"/>
        </w:rPr>
        <w:t>This represents transition activities and a</w:t>
      </w:r>
      <w:r w:rsidR="00907449">
        <w:rPr>
          <w:szCs w:val="22"/>
          <w:lang w:val="en-IE"/>
        </w:rPr>
        <w:t xml:space="preserve"> transition phase contributing to and aligned with the longer term policies, programmes and institutional arrangements for reconstruction. </w:t>
      </w:r>
    </w:p>
    <w:p w:rsidR="00907449" w:rsidRDefault="00907449" w:rsidP="00FC6128">
      <w:pPr>
        <w:pStyle w:val="ListParagraph"/>
        <w:numPr>
          <w:ilvl w:val="0"/>
          <w:numId w:val="19"/>
        </w:numPr>
        <w:rPr>
          <w:szCs w:val="22"/>
          <w:lang w:val="en-IE"/>
        </w:rPr>
      </w:pPr>
      <w:r>
        <w:rPr>
          <w:szCs w:val="22"/>
          <w:lang w:val="en-IE"/>
        </w:rPr>
        <w:t xml:space="preserve">While the focus of discussions in this TWG has been on technical training, there are many other elements involved in housing and settlement recovery, including social mobilisation, M+E, information management, vulnerability, household and community budgeting and financial management, market assessment, communications, disaster risk management.  </w:t>
      </w:r>
    </w:p>
    <w:p w:rsidR="00907449" w:rsidRDefault="00907449" w:rsidP="00FC6128">
      <w:pPr>
        <w:pStyle w:val="ListParagraph"/>
        <w:numPr>
          <w:ilvl w:val="0"/>
          <w:numId w:val="19"/>
        </w:numPr>
        <w:rPr>
          <w:szCs w:val="22"/>
          <w:lang w:val="en-IE"/>
        </w:rPr>
      </w:pPr>
      <w:r>
        <w:rPr>
          <w:szCs w:val="22"/>
          <w:lang w:val="en-IE"/>
        </w:rPr>
        <w:t xml:space="preserve">Several of the cluster partner agencies have valuable expertise, experience, tools and curricula which can be useful for recovery.  We would like to collect and discuss what is available in terms of existing resources, how to adapt for current needs and make them available for wider use. </w:t>
      </w:r>
    </w:p>
    <w:p w:rsidR="00097991" w:rsidRDefault="00097991" w:rsidP="00097991">
      <w:pPr>
        <w:pStyle w:val="ListParagraph"/>
        <w:numPr>
          <w:ilvl w:val="0"/>
          <w:numId w:val="19"/>
        </w:numPr>
        <w:rPr>
          <w:szCs w:val="22"/>
          <w:lang w:val="en-IE"/>
        </w:rPr>
      </w:pPr>
      <w:r>
        <w:rPr>
          <w:szCs w:val="22"/>
          <w:lang w:val="en-IE"/>
        </w:rPr>
        <w:t>Agencies who expressed interested in developing the strategy (IOM, NSET, CARE, HFH). Draft for next TWG.</w:t>
      </w:r>
    </w:p>
    <w:p w:rsidR="00097991" w:rsidRDefault="00097991" w:rsidP="00097991">
      <w:pPr>
        <w:pStyle w:val="ListParagraph"/>
        <w:numPr>
          <w:ilvl w:val="0"/>
          <w:numId w:val="19"/>
        </w:numPr>
        <w:rPr>
          <w:szCs w:val="22"/>
          <w:lang w:val="en-IE"/>
        </w:rPr>
      </w:pPr>
      <w:r>
        <w:rPr>
          <w:szCs w:val="22"/>
          <w:lang w:val="en-IE"/>
        </w:rPr>
        <w:t xml:space="preserve">Discussion on the risk of fragmentation of activities and urgency of preparing a common approach to mitigate agencies approaching donors bilaterally for individual projects. </w:t>
      </w:r>
    </w:p>
    <w:p w:rsidR="00097991" w:rsidRDefault="00097991" w:rsidP="00097991">
      <w:pPr>
        <w:pStyle w:val="ListParagraph"/>
        <w:numPr>
          <w:ilvl w:val="0"/>
          <w:numId w:val="19"/>
        </w:numPr>
        <w:rPr>
          <w:szCs w:val="22"/>
          <w:lang w:val="en-IE"/>
        </w:rPr>
      </w:pPr>
      <w:r>
        <w:rPr>
          <w:szCs w:val="22"/>
          <w:lang w:val="en-IE"/>
        </w:rPr>
        <w:t xml:space="preserve">Donors present agreed that a centralised, cohesive approach to TA is important and will make it easier to fund. </w:t>
      </w:r>
    </w:p>
    <w:p w:rsidR="00097991" w:rsidRDefault="00097991" w:rsidP="00097991">
      <w:pPr>
        <w:pStyle w:val="ListParagraph"/>
        <w:numPr>
          <w:ilvl w:val="0"/>
          <w:numId w:val="23"/>
        </w:numPr>
        <w:spacing w:after="0"/>
        <w:rPr>
          <w:szCs w:val="22"/>
          <w:lang w:val="en-IE"/>
        </w:rPr>
      </w:pPr>
      <w:r w:rsidRPr="006D2C22">
        <w:rPr>
          <w:szCs w:val="22"/>
          <w:lang w:val="en-IE"/>
        </w:rPr>
        <w:t xml:space="preserve">The role of smaller NGOs was discussed, and how they might fit in with the larger plan. Given the scale of the reconstruction required all resources available </w:t>
      </w:r>
      <w:r>
        <w:rPr>
          <w:szCs w:val="22"/>
          <w:lang w:val="en-IE"/>
        </w:rPr>
        <w:t>will need to be pooled, this is part of the mapping exercise and understanding what resources and capacity are available. There m</w:t>
      </w:r>
      <w:r w:rsidRPr="0099273D">
        <w:rPr>
          <w:szCs w:val="22"/>
          <w:lang w:val="en-IE"/>
        </w:rPr>
        <w:t>ust be room for a wide variety of specific needs and mandates. Each agency has strengths and these must be accounted for and integrated.</w:t>
      </w:r>
      <w:r w:rsidRPr="00B71ABB">
        <w:rPr>
          <w:szCs w:val="22"/>
          <w:lang w:val="en-IE"/>
        </w:rPr>
        <w:t xml:space="preserve"> </w:t>
      </w:r>
    </w:p>
    <w:p w:rsidR="00097991" w:rsidRDefault="00097991" w:rsidP="00097991">
      <w:pPr>
        <w:pStyle w:val="ListParagraph"/>
        <w:numPr>
          <w:ilvl w:val="0"/>
          <w:numId w:val="23"/>
        </w:numPr>
        <w:spacing w:after="0"/>
        <w:rPr>
          <w:szCs w:val="22"/>
          <w:lang w:val="en-IE"/>
        </w:rPr>
      </w:pPr>
      <w:r w:rsidRPr="00B71ABB">
        <w:rPr>
          <w:szCs w:val="22"/>
          <w:lang w:val="en-IE"/>
        </w:rPr>
        <w:t>The need to look beyond six months and to long term, 3-5 years, was raised, and it was agreed that this is important but the priority right now is to plan for the next 6 months to make sure that technical assistance is front loaded and aligns with the reconstruction programme</w:t>
      </w:r>
      <w:r>
        <w:rPr>
          <w:szCs w:val="22"/>
          <w:lang w:val="en-IE"/>
        </w:rPr>
        <w:t>.</w:t>
      </w:r>
      <w:r w:rsidRPr="00B71ABB">
        <w:rPr>
          <w:szCs w:val="22"/>
          <w:lang w:val="en-IE"/>
        </w:rPr>
        <w:t xml:space="preserve"> </w:t>
      </w:r>
    </w:p>
    <w:p w:rsidR="00097991" w:rsidRPr="00097991" w:rsidRDefault="00097991" w:rsidP="00097991">
      <w:pPr>
        <w:pStyle w:val="ListParagraph"/>
        <w:numPr>
          <w:ilvl w:val="0"/>
          <w:numId w:val="23"/>
        </w:numPr>
        <w:spacing w:after="0"/>
        <w:rPr>
          <w:szCs w:val="22"/>
          <w:lang w:val="en-IE"/>
        </w:rPr>
      </w:pPr>
      <w:r w:rsidRPr="001C1C12">
        <w:rPr>
          <w:szCs w:val="22"/>
          <w:lang w:val="en-IE"/>
        </w:rPr>
        <w:lastRenderedPageBreak/>
        <w:t xml:space="preserve">The need to consider infrastructure was raised, and it was explained that all 75 districts in Nepal have a rural roads programme as part of long term development programming. The PDNA has 23 sectors, of which one covers infrastructure so more information will come from this. </w:t>
      </w:r>
    </w:p>
    <w:p w:rsidR="00097991" w:rsidRDefault="00097991" w:rsidP="00097991">
      <w:pPr>
        <w:pStyle w:val="ListParagraph"/>
        <w:numPr>
          <w:ilvl w:val="0"/>
          <w:numId w:val="23"/>
        </w:numPr>
        <w:spacing w:after="0"/>
        <w:rPr>
          <w:szCs w:val="22"/>
          <w:lang w:val="en-IE"/>
        </w:rPr>
      </w:pPr>
      <w:r>
        <w:rPr>
          <w:szCs w:val="22"/>
          <w:lang w:val="en-IE"/>
        </w:rPr>
        <w:t xml:space="preserve">The focus at the moment is on rural reconstruction, but we need clarity on what is planned for urban areas, including what each category encompasses and the implications.  This may be an emerging advocacy issue for the cluster. </w:t>
      </w:r>
    </w:p>
    <w:p w:rsidR="00B71ABB" w:rsidRDefault="00B71ABB" w:rsidP="00B71ABB">
      <w:pPr>
        <w:pStyle w:val="ListParagraph"/>
        <w:spacing w:after="0"/>
        <w:ind w:left="1440"/>
        <w:rPr>
          <w:szCs w:val="22"/>
          <w:lang w:val="en-IE"/>
        </w:rPr>
      </w:pPr>
    </w:p>
    <w:p w:rsidR="00FA0D6A" w:rsidRDefault="00FA0D6A" w:rsidP="00FA0D6A">
      <w:pPr>
        <w:spacing w:after="0"/>
        <w:rPr>
          <w:b/>
          <w:szCs w:val="22"/>
          <w:lang w:val="en-IE"/>
        </w:rPr>
      </w:pPr>
      <w:r>
        <w:rPr>
          <w:b/>
          <w:szCs w:val="22"/>
          <w:lang w:val="en-IE"/>
        </w:rPr>
        <w:t xml:space="preserve">5. </w:t>
      </w:r>
      <w:r w:rsidRPr="0099273D">
        <w:rPr>
          <w:b/>
          <w:szCs w:val="22"/>
          <w:lang w:val="en-IE"/>
        </w:rPr>
        <w:t>Mapping of Expressions of Interes</w:t>
      </w:r>
      <w:r>
        <w:rPr>
          <w:b/>
          <w:szCs w:val="22"/>
          <w:lang w:val="en-IE"/>
        </w:rPr>
        <w:t>t</w:t>
      </w:r>
    </w:p>
    <w:p w:rsidR="00FA0D6A" w:rsidRDefault="00FA0D6A" w:rsidP="00FA0D6A">
      <w:pPr>
        <w:pStyle w:val="ListParagraph"/>
        <w:numPr>
          <w:ilvl w:val="0"/>
          <w:numId w:val="24"/>
        </w:numPr>
        <w:spacing w:after="0"/>
        <w:rPr>
          <w:szCs w:val="22"/>
          <w:lang w:val="en-IE"/>
        </w:rPr>
      </w:pPr>
      <w:r>
        <w:rPr>
          <w:szCs w:val="22"/>
          <w:lang w:val="en-IE"/>
        </w:rPr>
        <w:t>The shelter cluster have been conducting a mapping exercise of expressions of interest from organisations who are interested to participate in technical assistance and training for reconstruction</w:t>
      </w:r>
      <w:r w:rsidRPr="0099273D">
        <w:rPr>
          <w:szCs w:val="22"/>
          <w:lang w:val="en-IE"/>
        </w:rPr>
        <w:t>.</w:t>
      </w:r>
    </w:p>
    <w:p w:rsidR="00FA0D6A" w:rsidRDefault="00FA0D6A" w:rsidP="00FA0D6A">
      <w:pPr>
        <w:pStyle w:val="ListParagraph"/>
        <w:numPr>
          <w:ilvl w:val="0"/>
          <w:numId w:val="24"/>
        </w:numPr>
        <w:spacing w:after="0"/>
        <w:rPr>
          <w:szCs w:val="22"/>
          <w:lang w:val="en-IE"/>
        </w:rPr>
      </w:pPr>
      <w:r>
        <w:rPr>
          <w:szCs w:val="22"/>
          <w:lang w:val="en-IE"/>
        </w:rPr>
        <w:t xml:space="preserve">Document is separated into ‘Resource’ agencies, those that </w:t>
      </w:r>
      <w:r w:rsidR="00097991">
        <w:rPr>
          <w:szCs w:val="22"/>
          <w:lang w:val="en-IE"/>
        </w:rPr>
        <w:t xml:space="preserve">may </w:t>
      </w:r>
      <w:r>
        <w:rPr>
          <w:szCs w:val="22"/>
          <w:lang w:val="en-IE"/>
        </w:rPr>
        <w:t>provide particular support across all areas</w:t>
      </w:r>
      <w:r w:rsidR="00097991">
        <w:rPr>
          <w:szCs w:val="22"/>
          <w:lang w:val="en-IE"/>
        </w:rPr>
        <w:t xml:space="preserve"> or in their area</w:t>
      </w:r>
      <w:r>
        <w:rPr>
          <w:szCs w:val="22"/>
          <w:lang w:val="en-IE"/>
        </w:rPr>
        <w:t>, and ‘implementing’ agencies who would be directly delivering technical assistance in the field.</w:t>
      </w:r>
    </w:p>
    <w:p w:rsidR="00097991" w:rsidRDefault="00097991" w:rsidP="00FA0D6A">
      <w:pPr>
        <w:pStyle w:val="ListParagraph"/>
        <w:numPr>
          <w:ilvl w:val="0"/>
          <w:numId w:val="24"/>
        </w:numPr>
        <w:spacing w:after="0"/>
        <w:rPr>
          <w:szCs w:val="22"/>
          <w:lang w:val="en-IE"/>
        </w:rPr>
      </w:pPr>
      <w:r>
        <w:rPr>
          <w:szCs w:val="22"/>
          <w:lang w:val="en-IE"/>
        </w:rPr>
        <w:t xml:space="preserve">‘Technical assistance’ is broadly </w:t>
      </w:r>
      <w:r w:rsidR="0014203A">
        <w:rPr>
          <w:szCs w:val="22"/>
          <w:lang w:val="en-IE"/>
        </w:rPr>
        <w:t>defined as a range of social and</w:t>
      </w:r>
      <w:r>
        <w:rPr>
          <w:szCs w:val="22"/>
          <w:lang w:val="en-IE"/>
        </w:rPr>
        <w:t xml:space="preserve"> technical support</w:t>
      </w:r>
      <w:r w:rsidR="0014203A">
        <w:rPr>
          <w:szCs w:val="22"/>
          <w:lang w:val="en-IE"/>
        </w:rPr>
        <w:t xml:space="preserve">, assessing, mobilising, training, advising, demonstrating, facilitating, </w:t>
      </w:r>
      <w:r w:rsidR="005142D0">
        <w:rPr>
          <w:szCs w:val="22"/>
          <w:lang w:val="en-IE"/>
        </w:rPr>
        <w:t>and reporting</w:t>
      </w:r>
      <w:r w:rsidR="0014203A">
        <w:rPr>
          <w:szCs w:val="22"/>
          <w:lang w:val="en-IE"/>
        </w:rPr>
        <w:t xml:space="preserve">. </w:t>
      </w:r>
    </w:p>
    <w:p w:rsidR="00FA0D6A" w:rsidRPr="0099273D" w:rsidRDefault="00FA0D6A" w:rsidP="00FA0D6A">
      <w:pPr>
        <w:pStyle w:val="ListParagraph"/>
        <w:numPr>
          <w:ilvl w:val="0"/>
          <w:numId w:val="24"/>
        </w:numPr>
        <w:spacing w:after="0"/>
        <w:rPr>
          <w:szCs w:val="22"/>
          <w:lang w:val="en-IE"/>
        </w:rPr>
      </w:pPr>
      <w:r>
        <w:rPr>
          <w:szCs w:val="22"/>
          <w:lang w:val="en-IE"/>
        </w:rPr>
        <w:t xml:space="preserve">Organisations </w:t>
      </w:r>
      <w:r w:rsidR="001D6BF0">
        <w:rPr>
          <w:szCs w:val="22"/>
          <w:lang w:val="en-IE"/>
        </w:rPr>
        <w:t>are requested to send any information that is missing to the shelter cluster team for inclusion in the mapping document</w:t>
      </w:r>
    </w:p>
    <w:p w:rsidR="00572482" w:rsidRPr="0099273D" w:rsidRDefault="00572482" w:rsidP="00D4039B">
      <w:pPr>
        <w:spacing w:after="0"/>
        <w:rPr>
          <w:b/>
          <w:szCs w:val="22"/>
          <w:lang w:val="en-IE"/>
        </w:rPr>
      </w:pPr>
    </w:p>
    <w:p w:rsidR="00572482" w:rsidRPr="0099273D" w:rsidRDefault="00FA0D6A" w:rsidP="00D4039B">
      <w:pPr>
        <w:spacing w:after="0"/>
        <w:rPr>
          <w:b/>
          <w:szCs w:val="22"/>
          <w:lang w:val="en-IE"/>
        </w:rPr>
      </w:pPr>
      <w:r>
        <w:rPr>
          <w:b/>
          <w:szCs w:val="22"/>
          <w:lang w:val="en-IE"/>
        </w:rPr>
        <w:t xml:space="preserve">6. </w:t>
      </w:r>
      <w:r w:rsidR="00971448" w:rsidRPr="0099273D">
        <w:rPr>
          <w:b/>
          <w:szCs w:val="22"/>
          <w:lang w:val="en-IE"/>
        </w:rPr>
        <w:t>Communicating with Communities</w:t>
      </w:r>
    </w:p>
    <w:p w:rsidR="00572482" w:rsidRPr="0099273D" w:rsidRDefault="00572482" w:rsidP="00D4039B">
      <w:pPr>
        <w:pStyle w:val="ListParagraph"/>
        <w:numPr>
          <w:ilvl w:val="0"/>
          <w:numId w:val="24"/>
        </w:numPr>
        <w:spacing w:after="0"/>
        <w:rPr>
          <w:szCs w:val="22"/>
          <w:lang w:val="en-IE"/>
        </w:rPr>
      </w:pPr>
      <w:r w:rsidRPr="0099273D">
        <w:rPr>
          <w:szCs w:val="22"/>
          <w:lang w:val="en-IE"/>
        </w:rPr>
        <w:t xml:space="preserve">DUDBC </w:t>
      </w:r>
      <w:r w:rsidR="00B55352">
        <w:rPr>
          <w:szCs w:val="22"/>
          <w:lang w:val="en-IE"/>
        </w:rPr>
        <w:t>have requested that</w:t>
      </w:r>
      <w:r w:rsidRPr="0099273D">
        <w:rPr>
          <w:szCs w:val="22"/>
          <w:lang w:val="en-IE"/>
        </w:rPr>
        <w:t xml:space="preserve"> all </w:t>
      </w:r>
      <w:r w:rsidR="00B55352">
        <w:rPr>
          <w:szCs w:val="22"/>
          <w:lang w:val="en-IE"/>
        </w:rPr>
        <w:t>printed materials that have already been prepared on temporary shelter are</w:t>
      </w:r>
      <w:r w:rsidRPr="0099273D">
        <w:rPr>
          <w:szCs w:val="22"/>
          <w:lang w:val="en-IE"/>
        </w:rPr>
        <w:t xml:space="preserve"> consolidated </w:t>
      </w:r>
      <w:r w:rsidR="00B55352">
        <w:rPr>
          <w:szCs w:val="22"/>
          <w:lang w:val="en-IE"/>
        </w:rPr>
        <w:t>in</w:t>
      </w:r>
      <w:r w:rsidRPr="0099273D">
        <w:rPr>
          <w:szCs w:val="22"/>
          <w:lang w:val="en-IE"/>
        </w:rPr>
        <w:t>to one leaflet.</w:t>
      </w:r>
      <w:r w:rsidR="00B55352">
        <w:rPr>
          <w:szCs w:val="22"/>
          <w:lang w:val="en-IE"/>
        </w:rPr>
        <w:t xml:space="preserve"> It is expected </w:t>
      </w:r>
      <w:r w:rsidR="007714E9">
        <w:rPr>
          <w:szCs w:val="22"/>
          <w:lang w:val="en-IE"/>
        </w:rPr>
        <w:t xml:space="preserve">that the draft version of this will be shared with partners over the weekend, in order to finalise for printing early next week. It was agreed that there </w:t>
      </w:r>
      <w:r w:rsidR="00145387">
        <w:rPr>
          <w:szCs w:val="22"/>
          <w:lang w:val="en-IE"/>
        </w:rPr>
        <w:t>may</w:t>
      </w:r>
      <w:r w:rsidR="007714E9">
        <w:rPr>
          <w:szCs w:val="22"/>
          <w:lang w:val="en-IE"/>
        </w:rPr>
        <w:t xml:space="preserve"> be a need to have </w:t>
      </w:r>
      <w:r w:rsidR="00145387">
        <w:rPr>
          <w:szCs w:val="22"/>
          <w:lang w:val="en-IE"/>
        </w:rPr>
        <w:t xml:space="preserve">further emergency / temporary shelter information communicated over the coming months due to monsoon and winter. </w:t>
      </w:r>
    </w:p>
    <w:p w:rsidR="00572482" w:rsidRPr="0099273D" w:rsidRDefault="007714E9" w:rsidP="00D4039B">
      <w:pPr>
        <w:pStyle w:val="ListParagraph"/>
        <w:numPr>
          <w:ilvl w:val="0"/>
          <w:numId w:val="24"/>
        </w:numPr>
        <w:spacing w:after="0"/>
        <w:rPr>
          <w:szCs w:val="22"/>
          <w:lang w:val="en-IE"/>
        </w:rPr>
      </w:pPr>
      <w:r>
        <w:rPr>
          <w:szCs w:val="22"/>
          <w:lang w:val="en-IE"/>
        </w:rPr>
        <w:t>The need to prepare printed material for safer construction was discussed at length and it was stressed that there is a need to be cautious about pre-empting GoN agreed standards for reconstruction and information to communities regarding the reconstruction programme. There is a need for the GoN to communicate early and they will play a lead role in large-scale communications, partner organisations communications activities will have to be complimentary. The shelter cluster is aiming to have something available by the end of the month. It was also stressed that printed materials are not considered a very effective communications mechanism and activities such as demo houses, which are discussed as part of the 6 month work plan, are field activities which could start soon that will provide strong communications opportunities.</w:t>
      </w:r>
    </w:p>
    <w:p w:rsidR="00572482" w:rsidRPr="0099273D" w:rsidRDefault="00572482" w:rsidP="00D4039B">
      <w:pPr>
        <w:pStyle w:val="ListParagraph"/>
        <w:numPr>
          <w:ilvl w:val="0"/>
          <w:numId w:val="24"/>
        </w:numPr>
        <w:spacing w:after="0"/>
        <w:rPr>
          <w:szCs w:val="22"/>
          <w:lang w:val="en-IE"/>
        </w:rPr>
      </w:pPr>
      <w:r w:rsidRPr="0099273D">
        <w:rPr>
          <w:szCs w:val="22"/>
          <w:lang w:val="en-IE"/>
        </w:rPr>
        <w:t>There are issues with organi</w:t>
      </w:r>
      <w:r w:rsidR="0053007C">
        <w:rPr>
          <w:szCs w:val="22"/>
          <w:lang w:val="en-IE"/>
        </w:rPr>
        <w:t>s</w:t>
      </w:r>
      <w:r w:rsidRPr="0099273D">
        <w:rPr>
          <w:szCs w:val="22"/>
          <w:lang w:val="en-IE"/>
        </w:rPr>
        <w:t xml:space="preserve">ations retrofitting houses improperly. A clear message must be sent to address this issue. We can inform people of the proper techniques and strategies so that they do not waste their money on inadequate processes. </w:t>
      </w:r>
    </w:p>
    <w:p w:rsidR="00D4039B" w:rsidRPr="0099273D" w:rsidRDefault="0053007C" w:rsidP="00B55352">
      <w:pPr>
        <w:pStyle w:val="ListParagraph"/>
        <w:numPr>
          <w:ilvl w:val="0"/>
          <w:numId w:val="24"/>
        </w:numPr>
        <w:spacing w:after="0"/>
        <w:rPr>
          <w:szCs w:val="22"/>
          <w:lang w:val="en-IE"/>
        </w:rPr>
      </w:pPr>
      <w:r>
        <w:rPr>
          <w:szCs w:val="22"/>
          <w:lang w:val="en-IE"/>
        </w:rPr>
        <w:t xml:space="preserve">There was discussion around the use of logos on </w:t>
      </w:r>
      <w:r w:rsidR="00B55352">
        <w:rPr>
          <w:szCs w:val="22"/>
          <w:lang w:val="en-IE"/>
        </w:rPr>
        <w:t xml:space="preserve">printed material and it was suggested that the format followed in the Philippines, where only </w:t>
      </w:r>
      <w:proofErr w:type="spellStart"/>
      <w:r w:rsidR="00B55352">
        <w:rPr>
          <w:szCs w:val="22"/>
          <w:lang w:val="en-IE"/>
        </w:rPr>
        <w:t>Gov</w:t>
      </w:r>
      <w:proofErr w:type="spellEnd"/>
      <w:r w:rsidR="00B55352">
        <w:rPr>
          <w:szCs w:val="22"/>
          <w:lang w:val="en-IE"/>
        </w:rPr>
        <w:t xml:space="preserve"> and SC logos were included could be used in Nepal. The SC logo represents all partners and keeping to two logos presents a unified response. Further discussion is required on this topic.</w:t>
      </w:r>
    </w:p>
    <w:p w:rsidR="00D4039B" w:rsidRPr="0099273D" w:rsidRDefault="00D4039B" w:rsidP="00D4039B">
      <w:pPr>
        <w:spacing w:after="0"/>
        <w:rPr>
          <w:szCs w:val="22"/>
          <w:lang w:val="en-IE"/>
        </w:rPr>
      </w:pPr>
    </w:p>
    <w:p w:rsidR="00D4039B" w:rsidRPr="0099273D" w:rsidRDefault="00D4039B" w:rsidP="00145387">
      <w:pPr>
        <w:spacing w:after="0"/>
        <w:rPr>
          <w:b/>
          <w:szCs w:val="22"/>
          <w:lang w:val="en-IE"/>
        </w:rPr>
      </w:pPr>
      <w:r w:rsidRPr="0099273D">
        <w:rPr>
          <w:b/>
          <w:szCs w:val="22"/>
          <w:lang w:val="en-IE"/>
        </w:rPr>
        <w:t>The next Technical Assistance and Training meeting will be at NSET on Monday, 15 June, 4:00pm.</w:t>
      </w:r>
    </w:p>
    <w:sectPr w:rsidR="00D4039B" w:rsidRPr="0099273D" w:rsidSect="00971448">
      <w:headerReference w:type="default" r:id="rId8"/>
      <w:footerReference w:type="even" r:id="rId9"/>
      <w:footerReference w:type="default" r:id="rId10"/>
      <w:pgSz w:w="12240" w:h="15840"/>
      <w:pgMar w:top="720" w:right="720" w:bottom="720" w:left="720" w:header="720" w:footer="864"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69F" w:rsidRDefault="009D469F" w:rsidP="00937354">
      <w:pPr>
        <w:spacing w:after="0" w:line="240" w:lineRule="auto"/>
      </w:pPr>
      <w:r>
        <w:separator/>
      </w:r>
    </w:p>
  </w:endnote>
  <w:endnote w:type="continuationSeparator" w:id="0">
    <w:p w:rsidR="009D469F" w:rsidRDefault="009D469F" w:rsidP="0093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82" w:rsidRDefault="00572482" w:rsidP="00937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2482" w:rsidRDefault="00572482" w:rsidP="00937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bCs/>
        <w:color w:val="B33536"/>
        <w:sz w:val="20"/>
      </w:rPr>
      <w:id w:val="-430827"/>
      <w:docPartObj>
        <w:docPartGallery w:val="Page Numbers (Bottom of Page)"/>
        <w:docPartUnique/>
      </w:docPartObj>
    </w:sdtPr>
    <w:sdtEndPr/>
    <w:sdtContent>
      <w:sdt>
        <w:sdtPr>
          <w:rPr>
            <w:rFonts w:ascii="Arial" w:hAnsi="Arial" w:cs="Arial"/>
            <w:b/>
            <w:bCs/>
            <w:color w:val="B33536"/>
            <w:sz w:val="20"/>
          </w:rPr>
          <w:id w:val="304053340"/>
          <w:docPartObj>
            <w:docPartGallery w:val="Page Numbers (Top of Page)"/>
            <w:docPartUnique/>
          </w:docPartObj>
        </w:sdtPr>
        <w:sdtEndPr/>
        <w:sdtContent>
          <w:p w:rsidR="00572482" w:rsidRPr="00445C1E" w:rsidRDefault="00572482" w:rsidP="00937354">
            <w:pPr>
              <w:pStyle w:val="Footer"/>
              <w:pBdr>
                <w:top w:val="single" w:sz="4" w:space="1" w:color="002060"/>
              </w:pBdr>
              <w:tabs>
                <w:tab w:val="right" w:pos="10490"/>
              </w:tabs>
              <w:jc w:val="right"/>
              <w:rPr>
                <w:rFonts w:ascii="Arial" w:hAnsi="Arial" w:cs="Arial"/>
                <w:b/>
                <w:bCs/>
                <w:color w:val="B33536"/>
                <w:sz w:val="20"/>
              </w:rPr>
            </w:pPr>
            <w:r w:rsidRPr="00445C1E">
              <w:rPr>
                <w:rFonts w:ascii="Arial" w:hAnsi="Arial" w:cs="Arial"/>
                <w:b/>
                <w:bCs/>
                <w:color w:val="B33536"/>
                <w:sz w:val="20"/>
              </w:rPr>
              <w:tab/>
              <w:t xml:space="preserve">Page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PAGE  \* Arabic  \* MERGEFORMAT </w:instrText>
            </w:r>
            <w:r w:rsidRPr="00445C1E">
              <w:rPr>
                <w:rFonts w:ascii="Arial" w:hAnsi="Arial" w:cs="Arial"/>
                <w:b/>
                <w:bCs/>
                <w:color w:val="B33536"/>
                <w:sz w:val="20"/>
              </w:rPr>
              <w:fldChar w:fldCharType="separate"/>
            </w:r>
            <w:r w:rsidR="002C3D6A">
              <w:rPr>
                <w:rFonts w:ascii="Arial" w:hAnsi="Arial" w:cs="Arial"/>
                <w:b/>
                <w:bCs/>
                <w:noProof/>
                <w:color w:val="B33536"/>
                <w:sz w:val="20"/>
              </w:rPr>
              <w:t>1</w:t>
            </w:r>
            <w:r w:rsidRPr="00445C1E">
              <w:rPr>
                <w:rFonts w:ascii="Arial" w:hAnsi="Arial" w:cs="Arial"/>
                <w:b/>
                <w:bCs/>
                <w:color w:val="B33536"/>
                <w:sz w:val="20"/>
              </w:rPr>
              <w:fldChar w:fldCharType="end"/>
            </w:r>
            <w:r w:rsidRPr="00445C1E">
              <w:rPr>
                <w:rFonts w:ascii="Arial" w:hAnsi="Arial" w:cs="Arial"/>
                <w:b/>
                <w:bCs/>
                <w:color w:val="B33536"/>
                <w:sz w:val="20"/>
              </w:rPr>
              <w:t xml:space="preserve"> of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NUMPAGES  \* Arabic  \* MERGEFORMAT </w:instrText>
            </w:r>
            <w:r w:rsidRPr="00445C1E">
              <w:rPr>
                <w:rFonts w:ascii="Arial" w:hAnsi="Arial" w:cs="Arial"/>
                <w:b/>
                <w:bCs/>
                <w:color w:val="B33536"/>
                <w:sz w:val="20"/>
              </w:rPr>
              <w:fldChar w:fldCharType="separate"/>
            </w:r>
            <w:r w:rsidR="002C3D6A">
              <w:rPr>
                <w:rFonts w:ascii="Arial" w:hAnsi="Arial" w:cs="Arial"/>
                <w:b/>
                <w:bCs/>
                <w:noProof/>
                <w:color w:val="B33536"/>
                <w:sz w:val="20"/>
              </w:rPr>
              <w:t>3</w:t>
            </w:r>
            <w:r w:rsidRPr="00445C1E">
              <w:rPr>
                <w:rFonts w:ascii="Arial" w:hAnsi="Arial" w:cs="Arial"/>
                <w:b/>
                <w:bCs/>
                <w:color w:val="B33536"/>
                <w:sz w:val="20"/>
              </w:rPr>
              <w:fldChar w:fldCharType="end"/>
            </w:r>
          </w:p>
        </w:sdtContent>
      </w:sdt>
    </w:sdtContent>
  </w:sdt>
  <w:p w:rsidR="00572482" w:rsidRPr="00937354" w:rsidRDefault="00572482" w:rsidP="0093735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69F" w:rsidRDefault="009D469F" w:rsidP="00937354">
      <w:pPr>
        <w:spacing w:after="0" w:line="240" w:lineRule="auto"/>
      </w:pPr>
      <w:r>
        <w:separator/>
      </w:r>
    </w:p>
  </w:footnote>
  <w:footnote w:type="continuationSeparator" w:id="0">
    <w:p w:rsidR="009D469F" w:rsidRDefault="009D469F" w:rsidP="00937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82" w:rsidRPr="00445C1E" w:rsidRDefault="00572482" w:rsidP="00937354">
    <w:pPr>
      <w:pStyle w:val="Header"/>
      <w:rPr>
        <w:rFonts w:ascii="Arial" w:hAnsi="Arial" w:cs="Arial"/>
        <w:color w:val="B33536"/>
        <w:sz w:val="20"/>
      </w:rPr>
    </w:pPr>
    <w:r w:rsidRPr="00445C1E">
      <w:rPr>
        <w:rFonts w:ascii="Arial" w:hAnsi="Arial" w:cs="Arial"/>
        <w:noProof/>
        <w:color w:val="B33536"/>
        <w:sz w:val="20"/>
        <w:lang w:val="en-GB" w:eastAsia="en-GB"/>
      </w:rPr>
      <w:drawing>
        <wp:anchor distT="0" distB="0" distL="114300" distR="114300" simplePos="0" relativeHeight="251658240" behindDoc="0" locked="0" layoutInCell="1" allowOverlap="1" wp14:anchorId="0E502B15" wp14:editId="34917F73">
          <wp:simplePos x="0" y="0"/>
          <wp:positionH relativeFrom="column">
            <wp:posOffset>4724400</wp:posOffset>
          </wp:positionH>
          <wp:positionV relativeFrom="paragraph">
            <wp:posOffset>-19050</wp:posOffset>
          </wp:positionV>
          <wp:extent cx="2105025" cy="352425"/>
          <wp:effectExtent l="0" t="0" r="3175" b="3175"/>
          <wp:wrapSquare wrapText="bothSides"/>
          <wp:docPr id="8" name="Picture 8" descr="C:\Users\Siobhan\Desktop\Shelter Cluster\Logo - Nepal Shelter Cluster -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obhan\Desktop\Shelter Cluster\Logo - Nepal Shelter Cluster - e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352425"/>
                  </a:xfrm>
                  <a:prstGeom prst="rect">
                    <a:avLst/>
                  </a:prstGeom>
                  <a:noFill/>
                  <a:ln>
                    <a:noFill/>
                  </a:ln>
                </pic:spPr>
              </pic:pic>
            </a:graphicData>
          </a:graphic>
        </wp:anchor>
      </w:drawing>
    </w:r>
    <w:r w:rsidR="00971448">
      <w:rPr>
        <w:rFonts w:ascii="Arial" w:hAnsi="Arial" w:cs="Arial"/>
        <w:color w:val="B33536"/>
        <w:sz w:val="20"/>
      </w:rPr>
      <w:t>Technical Assistance and Training TWG</w:t>
    </w:r>
  </w:p>
  <w:p w:rsidR="00572482" w:rsidRPr="00445C1E" w:rsidRDefault="00572482" w:rsidP="00937354">
    <w:pPr>
      <w:pStyle w:val="Header"/>
      <w:rPr>
        <w:rFonts w:ascii="Arial" w:hAnsi="Arial" w:cs="Arial"/>
        <w:sz w:val="20"/>
      </w:rPr>
    </w:pPr>
    <w:r>
      <w:rPr>
        <w:rFonts w:ascii="Arial" w:hAnsi="Arial" w:cs="Arial"/>
        <w:b/>
        <w:color w:val="B33536"/>
        <w:sz w:val="20"/>
      </w:rPr>
      <w:t xml:space="preserve">June </w:t>
    </w:r>
    <w:r w:rsidR="00145387">
      <w:rPr>
        <w:rFonts w:ascii="Arial" w:hAnsi="Arial" w:cs="Arial"/>
        <w:b/>
        <w:color w:val="B33536"/>
        <w:sz w:val="20"/>
      </w:rPr>
      <w:t>8</w:t>
    </w:r>
    <w:r>
      <w:rPr>
        <w:rFonts w:ascii="Arial" w:hAnsi="Arial" w:cs="Arial"/>
        <w:b/>
        <w:color w:val="B33536"/>
        <w:sz w:val="20"/>
      </w:rPr>
      <w:t xml:space="preserve">, 2015 </w:t>
    </w:r>
  </w:p>
  <w:p w:rsidR="00572482" w:rsidRDefault="00572482" w:rsidP="00937354">
    <w:pPr>
      <w:pStyle w:val="Header"/>
      <w:pBdr>
        <w:bottom w:val="single" w:sz="4" w:space="0" w:color="1F497D" w:themeColor="text2"/>
      </w:pBdr>
    </w:pPr>
  </w:p>
  <w:p w:rsidR="00572482" w:rsidRPr="002047A3" w:rsidRDefault="00572482" w:rsidP="00937354">
    <w:pPr>
      <w:pStyle w:val="Header"/>
      <w:rPr>
        <w:color w:val="B33536"/>
      </w:rPr>
    </w:pPr>
  </w:p>
  <w:p w:rsidR="00572482" w:rsidRPr="00937354" w:rsidRDefault="00572482" w:rsidP="00937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800"/>
        </w:tabs>
        <w:ind w:left="800" w:firstLine="0"/>
      </w:pPr>
      <w:rPr>
        <w:rFonts w:hint="default"/>
        <w:position w:val="0"/>
      </w:rPr>
    </w:lvl>
    <w:lvl w:ilvl="1">
      <w:start w:val="1"/>
      <w:numFmt w:val="lowerLetter"/>
      <w:lvlText w:val="%2."/>
      <w:lvlJc w:val="left"/>
      <w:pPr>
        <w:tabs>
          <w:tab w:val="num" w:pos="800"/>
        </w:tabs>
        <w:ind w:left="800" w:firstLine="360"/>
      </w:pPr>
      <w:rPr>
        <w:rFonts w:hint="default"/>
        <w:position w:val="0"/>
      </w:rPr>
    </w:lvl>
    <w:lvl w:ilvl="2">
      <w:start w:val="1"/>
      <w:numFmt w:val="lowerRoman"/>
      <w:lvlText w:val="%3."/>
      <w:lvlJc w:val="left"/>
      <w:pPr>
        <w:tabs>
          <w:tab w:val="num" w:pos="800"/>
        </w:tabs>
        <w:ind w:left="800" w:firstLine="720"/>
      </w:pPr>
      <w:rPr>
        <w:rFonts w:hint="default"/>
        <w:position w:val="0"/>
      </w:rPr>
    </w:lvl>
    <w:lvl w:ilvl="3">
      <w:start w:val="1"/>
      <w:numFmt w:val="decimal"/>
      <w:isLgl/>
      <w:lvlText w:val="%4."/>
      <w:lvlJc w:val="left"/>
      <w:pPr>
        <w:tabs>
          <w:tab w:val="num" w:pos="800"/>
        </w:tabs>
        <w:ind w:left="800" w:firstLine="1080"/>
      </w:pPr>
      <w:rPr>
        <w:rFonts w:hint="default"/>
        <w:position w:val="0"/>
      </w:rPr>
    </w:lvl>
    <w:lvl w:ilvl="4">
      <w:start w:val="1"/>
      <w:numFmt w:val="lowerLetter"/>
      <w:lvlText w:val="%5."/>
      <w:lvlJc w:val="left"/>
      <w:pPr>
        <w:tabs>
          <w:tab w:val="num" w:pos="800"/>
        </w:tabs>
        <w:ind w:left="800" w:firstLine="1440"/>
      </w:pPr>
      <w:rPr>
        <w:rFonts w:hint="default"/>
        <w:position w:val="0"/>
      </w:rPr>
    </w:lvl>
    <w:lvl w:ilvl="5">
      <w:start w:val="1"/>
      <w:numFmt w:val="lowerRoman"/>
      <w:lvlText w:val="%6."/>
      <w:lvlJc w:val="left"/>
      <w:pPr>
        <w:tabs>
          <w:tab w:val="num" w:pos="800"/>
        </w:tabs>
        <w:ind w:left="800" w:firstLine="1800"/>
      </w:pPr>
      <w:rPr>
        <w:rFonts w:hint="default"/>
        <w:position w:val="0"/>
      </w:rPr>
    </w:lvl>
    <w:lvl w:ilvl="6">
      <w:start w:val="1"/>
      <w:numFmt w:val="decimal"/>
      <w:isLgl/>
      <w:lvlText w:val="%7."/>
      <w:lvlJc w:val="left"/>
      <w:pPr>
        <w:tabs>
          <w:tab w:val="num" w:pos="800"/>
        </w:tabs>
        <w:ind w:left="800" w:firstLine="2160"/>
      </w:pPr>
      <w:rPr>
        <w:rFonts w:hint="default"/>
        <w:position w:val="0"/>
      </w:rPr>
    </w:lvl>
    <w:lvl w:ilvl="7">
      <w:start w:val="1"/>
      <w:numFmt w:val="lowerLetter"/>
      <w:lvlText w:val="%8."/>
      <w:lvlJc w:val="left"/>
      <w:pPr>
        <w:tabs>
          <w:tab w:val="num" w:pos="800"/>
        </w:tabs>
        <w:ind w:left="800" w:firstLine="2520"/>
      </w:pPr>
      <w:rPr>
        <w:rFonts w:hint="default"/>
        <w:position w:val="0"/>
      </w:rPr>
    </w:lvl>
    <w:lvl w:ilvl="8">
      <w:start w:val="1"/>
      <w:numFmt w:val="lowerRoman"/>
      <w:lvlText w:val="%9."/>
      <w:lvlJc w:val="left"/>
      <w:pPr>
        <w:tabs>
          <w:tab w:val="num" w:pos="800"/>
        </w:tabs>
        <w:ind w:left="800" w:firstLine="2880"/>
      </w:pPr>
      <w:rPr>
        <w:rFonts w:hint="default"/>
        <w:position w:val="0"/>
      </w:rPr>
    </w:lvl>
  </w:abstractNum>
  <w:abstractNum w:abstractNumId="1">
    <w:nsid w:val="00000002"/>
    <w:multiLevelType w:val="multilevel"/>
    <w:tmpl w:val="894EE874"/>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7762DA"/>
    <w:multiLevelType w:val="hybridMultilevel"/>
    <w:tmpl w:val="4664B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A663F"/>
    <w:multiLevelType w:val="hybridMultilevel"/>
    <w:tmpl w:val="1D78D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20E2F"/>
    <w:multiLevelType w:val="hybridMultilevel"/>
    <w:tmpl w:val="B802D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F61C7"/>
    <w:multiLevelType w:val="hybridMultilevel"/>
    <w:tmpl w:val="9F9805F6"/>
    <w:lvl w:ilvl="0" w:tplc="1736E2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B42764"/>
    <w:multiLevelType w:val="hybridMultilevel"/>
    <w:tmpl w:val="C180C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1C496B"/>
    <w:multiLevelType w:val="hybridMultilevel"/>
    <w:tmpl w:val="988E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A157C"/>
    <w:multiLevelType w:val="hybridMultilevel"/>
    <w:tmpl w:val="DD82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153245"/>
    <w:multiLevelType w:val="hybridMultilevel"/>
    <w:tmpl w:val="79540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E868CA"/>
    <w:multiLevelType w:val="hybridMultilevel"/>
    <w:tmpl w:val="CD421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C5B2C"/>
    <w:multiLevelType w:val="hybridMultilevel"/>
    <w:tmpl w:val="DD34D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24582D"/>
    <w:multiLevelType w:val="hybridMultilevel"/>
    <w:tmpl w:val="F7D4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4D514C"/>
    <w:multiLevelType w:val="hybridMultilevel"/>
    <w:tmpl w:val="2B14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395F3F"/>
    <w:multiLevelType w:val="hybridMultilevel"/>
    <w:tmpl w:val="94A2A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31DDF"/>
    <w:multiLevelType w:val="hybridMultilevel"/>
    <w:tmpl w:val="729E9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910E1B"/>
    <w:multiLevelType w:val="hybridMultilevel"/>
    <w:tmpl w:val="A9B2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C039FC"/>
    <w:multiLevelType w:val="hybridMultilevel"/>
    <w:tmpl w:val="4E847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DDC58C4"/>
    <w:multiLevelType w:val="hybridMultilevel"/>
    <w:tmpl w:val="9F9805F6"/>
    <w:lvl w:ilvl="0" w:tplc="1736E2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4B24CB"/>
    <w:multiLevelType w:val="hybridMultilevel"/>
    <w:tmpl w:val="798A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3B2A53"/>
    <w:multiLevelType w:val="hybridMultilevel"/>
    <w:tmpl w:val="CD0CC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860A57"/>
    <w:multiLevelType w:val="hybridMultilevel"/>
    <w:tmpl w:val="B1E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472FF9"/>
    <w:multiLevelType w:val="hybridMultilevel"/>
    <w:tmpl w:val="38244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571A14"/>
    <w:multiLevelType w:val="hybridMultilevel"/>
    <w:tmpl w:val="403A7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12"/>
  </w:num>
  <w:num w:numId="6">
    <w:abstractNumId w:val="15"/>
  </w:num>
  <w:num w:numId="7">
    <w:abstractNumId w:val="8"/>
  </w:num>
  <w:num w:numId="8">
    <w:abstractNumId w:val="13"/>
  </w:num>
  <w:num w:numId="9">
    <w:abstractNumId w:val="5"/>
  </w:num>
  <w:num w:numId="10">
    <w:abstractNumId w:val="16"/>
  </w:num>
  <w:num w:numId="11">
    <w:abstractNumId w:val="20"/>
  </w:num>
  <w:num w:numId="12">
    <w:abstractNumId w:val="22"/>
  </w:num>
  <w:num w:numId="13">
    <w:abstractNumId w:val="24"/>
  </w:num>
  <w:num w:numId="14">
    <w:abstractNumId w:val="6"/>
  </w:num>
  <w:num w:numId="15">
    <w:abstractNumId w:val="4"/>
  </w:num>
  <w:num w:numId="16">
    <w:abstractNumId w:val="9"/>
  </w:num>
  <w:num w:numId="17">
    <w:abstractNumId w:val="23"/>
  </w:num>
  <w:num w:numId="18">
    <w:abstractNumId w:val="21"/>
  </w:num>
  <w:num w:numId="19">
    <w:abstractNumId w:val="3"/>
  </w:num>
  <w:num w:numId="20">
    <w:abstractNumId w:val="18"/>
  </w:num>
  <w:num w:numId="21">
    <w:abstractNumId w:val="14"/>
  </w:num>
  <w:num w:numId="22">
    <w:abstractNumId w:val="17"/>
  </w:num>
  <w:num w:numId="23">
    <w:abstractNumId w:val="7"/>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AC"/>
    <w:rsid w:val="00082485"/>
    <w:rsid w:val="00090030"/>
    <w:rsid w:val="00097991"/>
    <w:rsid w:val="0014203A"/>
    <w:rsid w:val="00145387"/>
    <w:rsid w:val="001C1C12"/>
    <w:rsid w:val="001D6BF0"/>
    <w:rsid w:val="00215C43"/>
    <w:rsid w:val="00247217"/>
    <w:rsid w:val="002A761D"/>
    <w:rsid w:val="002C3D6A"/>
    <w:rsid w:val="00312689"/>
    <w:rsid w:val="00484673"/>
    <w:rsid w:val="004A3C45"/>
    <w:rsid w:val="005142D0"/>
    <w:rsid w:val="0053007C"/>
    <w:rsid w:val="00532AAC"/>
    <w:rsid w:val="00555D45"/>
    <w:rsid w:val="00572482"/>
    <w:rsid w:val="00600B1A"/>
    <w:rsid w:val="0065603A"/>
    <w:rsid w:val="00683260"/>
    <w:rsid w:val="006D2C22"/>
    <w:rsid w:val="006E1B82"/>
    <w:rsid w:val="007464F0"/>
    <w:rsid w:val="007714E9"/>
    <w:rsid w:val="00852ED7"/>
    <w:rsid w:val="0085625A"/>
    <w:rsid w:val="0085627E"/>
    <w:rsid w:val="00860306"/>
    <w:rsid w:val="00907449"/>
    <w:rsid w:val="00937354"/>
    <w:rsid w:val="00957975"/>
    <w:rsid w:val="00971448"/>
    <w:rsid w:val="0099273D"/>
    <w:rsid w:val="009D469F"/>
    <w:rsid w:val="009E1D4C"/>
    <w:rsid w:val="00AF4D9A"/>
    <w:rsid w:val="00B5509C"/>
    <w:rsid w:val="00B55352"/>
    <w:rsid w:val="00B71ABB"/>
    <w:rsid w:val="00C52633"/>
    <w:rsid w:val="00C67ACC"/>
    <w:rsid w:val="00D0413B"/>
    <w:rsid w:val="00D13AC7"/>
    <w:rsid w:val="00D211ED"/>
    <w:rsid w:val="00D4039B"/>
    <w:rsid w:val="00DF1BCC"/>
    <w:rsid w:val="00E54040"/>
    <w:rsid w:val="00EA58D6"/>
    <w:rsid w:val="00ED59AB"/>
    <w:rsid w:val="00F45628"/>
    <w:rsid w:val="00FA0D6A"/>
    <w:rsid w:val="00FC6128"/>
    <w:rsid w:val="00FF0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AC"/>
    <w:pPr>
      <w:spacing w:after="200" w:line="276" w:lineRule="auto"/>
    </w:pPr>
    <w:rPr>
      <w:rFonts w:ascii="Calibri" w:eastAsia="ヒラギノ角ゴ Pro W3" w:hAnsi="Calibri"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32AAC"/>
    <w:pPr>
      <w:tabs>
        <w:tab w:val="right" w:pos="9360"/>
      </w:tabs>
    </w:pPr>
    <w:rPr>
      <w:rFonts w:ascii="Helvetica" w:eastAsia="ヒラギノ角ゴ Pro W3" w:hAnsi="Helvetica" w:cs="Times New Roman"/>
      <w:color w:val="000000"/>
      <w:sz w:val="20"/>
      <w:szCs w:val="20"/>
    </w:rPr>
  </w:style>
  <w:style w:type="paragraph" w:customStyle="1" w:styleId="Body">
    <w:name w:val="Body"/>
    <w:rsid w:val="00532AAC"/>
    <w:rPr>
      <w:rFonts w:ascii="Helvetica" w:eastAsia="ヒラギノ角ゴ Pro W3" w:hAnsi="Helvetica" w:cs="Times New Roman"/>
      <w:color w:val="000000"/>
      <w:szCs w:val="20"/>
    </w:rPr>
  </w:style>
  <w:style w:type="numbering" w:customStyle="1" w:styleId="Bullet">
    <w:name w:val="Bullet"/>
    <w:rsid w:val="00532AAC"/>
  </w:style>
  <w:style w:type="paragraph" w:styleId="BalloonText">
    <w:name w:val="Balloon Text"/>
    <w:basedOn w:val="Normal"/>
    <w:link w:val="BalloonTextChar"/>
    <w:uiPriority w:val="99"/>
    <w:semiHidden/>
    <w:unhideWhenUsed/>
    <w:rsid w:val="00532A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AAC"/>
    <w:rPr>
      <w:rFonts w:ascii="Lucida Grande" w:eastAsia="ヒラギノ角ゴ Pro W3" w:hAnsi="Lucida Grande" w:cs="Lucida Grande"/>
      <w:color w:val="000000"/>
      <w:sz w:val="18"/>
      <w:szCs w:val="18"/>
    </w:rPr>
  </w:style>
  <w:style w:type="character" w:styleId="Hyperlink">
    <w:name w:val="Hyperlink"/>
    <w:basedOn w:val="DefaultParagraphFont"/>
    <w:uiPriority w:val="99"/>
    <w:unhideWhenUsed/>
    <w:rsid w:val="00AF4D9A"/>
    <w:rPr>
      <w:color w:val="0000FF" w:themeColor="hyperlink"/>
      <w:u w:val="single"/>
    </w:rPr>
  </w:style>
  <w:style w:type="paragraph" w:styleId="NormalWeb">
    <w:name w:val="Normal (Web)"/>
    <w:basedOn w:val="Normal"/>
    <w:uiPriority w:val="99"/>
    <w:unhideWhenUsed/>
    <w:rsid w:val="00312689"/>
    <w:pPr>
      <w:spacing w:before="100" w:beforeAutospacing="1" w:after="100" w:afterAutospacing="1" w:line="240" w:lineRule="auto"/>
    </w:pPr>
    <w:rPr>
      <w:rFonts w:ascii="Times" w:eastAsiaTheme="minorEastAsia" w:hAnsi="Times"/>
      <w:color w:val="auto"/>
      <w:sz w:val="20"/>
      <w:szCs w:val="20"/>
    </w:rPr>
  </w:style>
  <w:style w:type="paragraph" w:styleId="ListParagraph">
    <w:name w:val="List Paragraph"/>
    <w:basedOn w:val="Normal"/>
    <w:uiPriority w:val="34"/>
    <w:qFormat/>
    <w:rsid w:val="007464F0"/>
    <w:pPr>
      <w:ind w:left="720"/>
      <w:contextualSpacing/>
    </w:pPr>
  </w:style>
  <w:style w:type="paragraph" w:styleId="Header">
    <w:name w:val="header"/>
    <w:basedOn w:val="Normal"/>
    <w:link w:val="HeaderChar"/>
    <w:uiPriority w:val="99"/>
    <w:unhideWhenUsed/>
    <w:rsid w:val="009373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54"/>
    <w:rPr>
      <w:rFonts w:ascii="Calibri" w:eastAsia="ヒラギノ角ゴ Pro W3" w:hAnsi="Calibri" w:cs="Times New Roman"/>
      <w:color w:val="000000"/>
      <w:sz w:val="22"/>
    </w:rPr>
  </w:style>
  <w:style w:type="paragraph" w:styleId="Footer">
    <w:name w:val="footer"/>
    <w:basedOn w:val="Normal"/>
    <w:link w:val="FooterChar"/>
    <w:uiPriority w:val="99"/>
    <w:unhideWhenUsed/>
    <w:rsid w:val="009373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354"/>
    <w:rPr>
      <w:rFonts w:ascii="Calibri" w:eastAsia="ヒラギノ角ゴ Pro W3" w:hAnsi="Calibri" w:cs="Times New Roman"/>
      <w:color w:val="000000"/>
      <w:sz w:val="22"/>
    </w:rPr>
  </w:style>
  <w:style w:type="character" w:styleId="PageNumber">
    <w:name w:val="page number"/>
    <w:basedOn w:val="DefaultParagraphFont"/>
    <w:uiPriority w:val="99"/>
    <w:semiHidden/>
    <w:unhideWhenUsed/>
    <w:rsid w:val="00937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AC"/>
    <w:pPr>
      <w:spacing w:after="200" w:line="276" w:lineRule="auto"/>
    </w:pPr>
    <w:rPr>
      <w:rFonts w:ascii="Calibri" w:eastAsia="ヒラギノ角ゴ Pro W3" w:hAnsi="Calibri"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32AAC"/>
    <w:pPr>
      <w:tabs>
        <w:tab w:val="right" w:pos="9360"/>
      </w:tabs>
    </w:pPr>
    <w:rPr>
      <w:rFonts w:ascii="Helvetica" w:eastAsia="ヒラギノ角ゴ Pro W3" w:hAnsi="Helvetica" w:cs="Times New Roman"/>
      <w:color w:val="000000"/>
      <w:sz w:val="20"/>
      <w:szCs w:val="20"/>
    </w:rPr>
  </w:style>
  <w:style w:type="paragraph" w:customStyle="1" w:styleId="Body">
    <w:name w:val="Body"/>
    <w:rsid w:val="00532AAC"/>
    <w:rPr>
      <w:rFonts w:ascii="Helvetica" w:eastAsia="ヒラギノ角ゴ Pro W3" w:hAnsi="Helvetica" w:cs="Times New Roman"/>
      <w:color w:val="000000"/>
      <w:szCs w:val="20"/>
    </w:rPr>
  </w:style>
  <w:style w:type="numbering" w:customStyle="1" w:styleId="Bullet">
    <w:name w:val="Bullet"/>
    <w:rsid w:val="00532AAC"/>
  </w:style>
  <w:style w:type="paragraph" w:styleId="BalloonText">
    <w:name w:val="Balloon Text"/>
    <w:basedOn w:val="Normal"/>
    <w:link w:val="BalloonTextChar"/>
    <w:uiPriority w:val="99"/>
    <w:semiHidden/>
    <w:unhideWhenUsed/>
    <w:rsid w:val="00532A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AAC"/>
    <w:rPr>
      <w:rFonts w:ascii="Lucida Grande" w:eastAsia="ヒラギノ角ゴ Pro W3" w:hAnsi="Lucida Grande" w:cs="Lucida Grande"/>
      <w:color w:val="000000"/>
      <w:sz w:val="18"/>
      <w:szCs w:val="18"/>
    </w:rPr>
  </w:style>
  <w:style w:type="character" w:styleId="Hyperlink">
    <w:name w:val="Hyperlink"/>
    <w:basedOn w:val="DefaultParagraphFont"/>
    <w:uiPriority w:val="99"/>
    <w:unhideWhenUsed/>
    <w:rsid w:val="00AF4D9A"/>
    <w:rPr>
      <w:color w:val="0000FF" w:themeColor="hyperlink"/>
      <w:u w:val="single"/>
    </w:rPr>
  </w:style>
  <w:style w:type="paragraph" w:styleId="NormalWeb">
    <w:name w:val="Normal (Web)"/>
    <w:basedOn w:val="Normal"/>
    <w:uiPriority w:val="99"/>
    <w:unhideWhenUsed/>
    <w:rsid w:val="00312689"/>
    <w:pPr>
      <w:spacing w:before="100" w:beforeAutospacing="1" w:after="100" w:afterAutospacing="1" w:line="240" w:lineRule="auto"/>
    </w:pPr>
    <w:rPr>
      <w:rFonts w:ascii="Times" w:eastAsiaTheme="minorEastAsia" w:hAnsi="Times"/>
      <w:color w:val="auto"/>
      <w:sz w:val="20"/>
      <w:szCs w:val="20"/>
    </w:rPr>
  </w:style>
  <w:style w:type="paragraph" w:styleId="ListParagraph">
    <w:name w:val="List Paragraph"/>
    <w:basedOn w:val="Normal"/>
    <w:uiPriority w:val="34"/>
    <w:qFormat/>
    <w:rsid w:val="007464F0"/>
    <w:pPr>
      <w:ind w:left="720"/>
      <w:contextualSpacing/>
    </w:pPr>
  </w:style>
  <w:style w:type="paragraph" w:styleId="Header">
    <w:name w:val="header"/>
    <w:basedOn w:val="Normal"/>
    <w:link w:val="HeaderChar"/>
    <w:uiPriority w:val="99"/>
    <w:unhideWhenUsed/>
    <w:rsid w:val="009373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54"/>
    <w:rPr>
      <w:rFonts w:ascii="Calibri" w:eastAsia="ヒラギノ角ゴ Pro W3" w:hAnsi="Calibri" w:cs="Times New Roman"/>
      <w:color w:val="000000"/>
      <w:sz w:val="22"/>
    </w:rPr>
  </w:style>
  <w:style w:type="paragraph" w:styleId="Footer">
    <w:name w:val="footer"/>
    <w:basedOn w:val="Normal"/>
    <w:link w:val="FooterChar"/>
    <w:uiPriority w:val="99"/>
    <w:unhideWhenUsed/>
    <w:rsid w:val="009373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354"/>
    <w:rPr>
      <w:rFonts w:ascii="Calibri" w:eastAsia="ヒラギノ角ゴ Pro W3" w:hAnsi="Calibri" w:cs="Times New Roman"/>
      <w:color w:val="000000"/>
      <w:sz w:val="22"/>
    </w:rPr>
  </w:style>
  <w:style w:type="character" w:styleId="PageNumber">
    <w:name w:val="page number"/>
    <w:basedOn w:val="DefaultParagraphFont"/>
    <w:uiPriority w:val="99"/>
    <w:semiHidden/>
    <w:unhideWhenUsed/>
    <w:rsid w:val="00937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88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Winiker</dc:creator>
  <cp:lastModifiedBy>user</cp:lastModifiedBy>
  <cp:revision>2</cp:revision>
  <dcterms:created xsi:type="dcterms:W3CDTF">2015-06-11T09:00:00Z</dcterms:created>
  <dcterms:modified xsi:type="dcterms:W3CDTF">2015-06-11T09:00:00Z</dcterms:modified>
</cp:coreProperties>
</file>