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78B8" w14:textId="77777777" w:rsidR="00EC4745" w:rsidRDefault="00EC4745" w:rsidP="00EC4745">
      <w:pPr>
        <w:spacing w:after="0"/>
      </w:pPr>
    </w:p>
    <w:p w14:paraId="14B550DE" w14:textId="01F9AF3D" w:rsidR="00CB300B" w:rsidRDefault="008D666D" w:rsidP="00EC4745">
      <w:pPr>
        <w:spacing w:after="0"/>
        <w:rPr>
          <w:lang w:val="es-ES"/>
        </w:rPr>
      </w:pPr>
      <w:r w:rsidRPr="0032663B">
        <w:rPr>
          <w:lang w:val="es-ES"/>
        </w:rPr>
        <w:t>Minuta de reuni</w:t>
      </w:r>
      <w:r>
        <w:rPr>
          <w:lang w:val="es-ES"/>
        </w:rPr>
        <w:t>ón</w:t>
      </w:r>
    </w:p>
    <w:p w14:paraId="06919C1E" w14:textId="46710EDC" w:rsidR="00EC4745" w:rsidRDefault="00EC4745" w:rsidP="00EC4745">
      <w:pPr>
        <w:spacing w:after="0"/>
        <w:rPr>
          <w:lang w:val="es-ES"/>
        </w:rPr>
      </w:pPr>
      <w:r>
        <w:rPr>
          <w:lang w:val="es-ES"/>
        </w:rPr>
        <w:t>Reunión mensual con socios</w:t>
      </w:r>
    </w:p>
    <w:p w14:paraId="7A53F372" w14:textId="47F496E7" w:rsidR="00EC4745" w:rsidRPr="00EC4745" w:rsidRDefault="00EC4745" w:rsidP="00EC4745">
      <w:pPr>
        <w:spacing w:after="0"/>
        <w:rPr>
          <w:b/>
          <w:bCs/>
          <w:lang w:val="es-ES"/>
        </w:rPr>
      </w:pPr>
      <w:r w:rsidRPr="00EC4745">
        <w:rPr>
          <w:b/>
          <w:bCs/>
          <w:lang w:val="es-ES"/>
        </w:rPr>
        <w:t>Clúster de Alojamiento, Energía y Enseres</w:t>
      </w:r>
    </w:p>
    <w:p w14:paraId="0D4DEFEA" w14:textId="77777777" w:rsidR="00EC4745" w:rsidRDefault="00EC4745" w:rsidP="00EC4745">
      <w:pPr>
        <w:spacing w:after="0"/>
        <w:rPr>
          <w:lang w:val="es-ES"/>
        </w:rPr>
      </w:pPr>
    </w:p>
    <w:p w14:paraId="47953855" w14:textId="331AE7DC" w:rsidR="008D666D" w:rsidRPr="00D662FE" w:rsidRDefault="008C77D2" w:rsidP="00E27DBF">
      <w:pPr>
        <w:jc w:val="both"/>
        <w:rPr>
          <w:lang w:val="es-VE"/>
        </w:rPr>
      </w:pPr>
      <w:r w:rsidRPr="00D662FE">
        <w:rPr>
          <w:b/>
          <w:bCs/>
          <w:lang w:val="es-VE"/>
        </w:rPr>
        <w:t>Participantes:</w:t>
      </w:r>
      <w:r w:rsidRPr="00D662FE">
        <w:rPr>
          <w:lang w:val="es-VE"/>
        </w:rPr>
        <w:t xml:space="preserve"> </w:t>
      </w:r>
      <w:r w:rsidR="00C60BA6" w:rsidRPr="00D662FE">
        <w:rPr>
          <w:lang w:val="es-VE"/>
        </w:rPr>
        <w:t>HEKS</w:t>
      </w:r>
      <w:r w:rsidR="000E7E5C" w:rsidRPr="00D662FE">
        <w:rPr>
          <w:lang w:val="es-VE"/>
        </w:rPr>
        <w:t>/</w:t>
      </w:r>
      <w:r w:rsidR="00C60BA6" w:rsidRPr="00D662FE">
        <w:rPr>
          <w:lang w:val="es-VE"/>
        </w:rPr>
        <w:t>EPER,</w:t>
      </w:r>
      <w:r w:rsidR="001C5E5C" w:rsidRPr="00D662FE">
        <w:rPr>
          <w:lang w:val="es-VE"/>
        </w:rPr>
        <w:t xml:space="preserve"> OIM, CO</w:t>
      </w:r>
      <w:r w:rsidR="000E688E">
        <w:rPr>
          <w:lang w:val="es-VE"/>
        </w:rPr>
        <w:t>O</w:t>
      </w:r>
      <w:r w:rsidR="001C5E5C" w:rsidRPr="00D662FE">
        <w:rPr>
          <w:lang w:val="es-VE"/>
        </w:rPr>
        <w:t xml:space="preserve">PI, </w:t>
      </w:r>
      <w:r w:rsidR="00E868A8">
        <w:rPr>
          <w:lang w:val="es-VE"/>
        </w:rPr>
        <w:t>UNFPA, UNHCR</w:t>
      </w:r>
      <w:r w:rsidR="001C5E5C" w:rsidRPr="00D662FE">
        <w:rPr>
          <w:lang w:val="es-VE"/>
        </w:rPr>
        <w:t>, TECHO</w:t>
      </w:r>
      <w:r w:rsidR="00F54FF3">
        <w:rPr>
          <w:lang w:val="es-VE"/>
        </w:rPr>
        <w:t xml:space="preserve"> Venezuela</w:t>
      </w:r>
      <w:r w:rsidR="001C5E5C" w:rsidRPr="00D662FE">
        <w:rPr>
          <w:lang w:val="es-VE"/>
        </w:rPr>
        <w:t>, RET</w:t>
      </w:r>
      <w:r w:rsidR="00F918C6">
        <w:rPr>
          <w:lang w:val="es-VE"/>
        </w:rPr>
        <w:t xml:space="preserve"> </w:t>
      </w:r>
      <w:proofErr w:type="spellStart"/>
      <w:r w:rsidR="00F918C6">
        <w:rPr>
          <w:lang w:val="es-VE"/>
        </w:rPr>
        <w:t>Americas</w:t>
      </w:r>
      <w:proofErr w:type="spellEnd"/>
      <w:r w:rsidR="001C5E5C" w:rsidRPr="00D662FE">
        <w:rPr>
          <w:lang w:val="es-VE"/>
        </w:rPr>
        <w:t xml:space="preserve">, </w:t>
      </w:r>
      <w:proofErr w:type="spellStart"/>
      <w:r w:rsidR="001C5E5C" w:rsidRPr="00D662FE">
        <w:rPr>
          <w:lang w:val="es-VE"/>
        </w:rPr>
        <w:t>Meal</w:t>
      </w:r>
      <w:proofErr w:type="spellEnd"/>
      <w:r w:rsidR="001C5E5C" w:rsidRPr="00D662FE">
        <w:rPr>
          <w:lang w:val="es-VE"/>
        </w:rPr>
        <w:t xml:space="preserve"> 4 Hope, F</w:t>
      </w:r>
      <w:r w:rsidR="00071B8C">
        <w:rPr>
          <w:lang w:val="es-VE"/>
        </w:rPr>
        <w:t>e</w:t>
      </w:r>
      <w:r w:rsidR="001C5E5C" w:rsidRPr="00D662FE">
        <w:rPr>
          <w:lang w:val="es-VE"/>
        </w:rPr>
        <w:t xml:space="preserve"> y Alegría, OCHA</w:t>
      </w:r>
      <w:r w:rsidR="00D662FE" w:rsidRPr="00D662FE">
        <w:rPr>
          <w:lang w:val="es-VE"/>
        </w:rPr>
        <w:t xml:space="preserve">, </w:t>
      </w:r>
      <w:proofErr w:type="spellStart"/>
      <w:r w:rsidR="00D662FE">
        <w:rPr>
          <w:lang w:val="es-ES"/>
        </w:rPr>
        <w:t>Fundairiarte</w:t>
      </w:r>
      <w:proofErr w:type="spellEnd"/>
      <w:r w:rsidR="00E840F0">
        <w:rPr>
          <w:lang w:val="es-ES"/>
        </w:rPr>
        <w:t>, Clúster de Alojamiento, Energía y Enseres</w:t>
      </w:r>
      <w:r w:rsidR="003B7C39">
        <w:rPr>
          <w:lang w:val="es-ES"/>
        </w:rPr>
        <w:t>.</w:t>
      </w:r>
    </w:p>
    <w:p w14:paraId="2166BD74" w14:textId="77777777" w:rsidR="003B7C39" w:rsidRPr="00131D91" w:rsidRDefault="003B7C39">
      <w:pPr>
        <w:rPr>
          <w:b/>
          <w:bCs/>
          <w:lang w:val="es-VE"/>
        </w:rPr>
      </w:pPr>
    </w:p>
    <w:p w14:paraId="5FE44D23" w14:textId="4FE1B843" w:rsidR="008C77D2" w:rsidRPr="00FC0C1C" w:rsidRDefault="008C77D2">
      <w:pPr>
        <w:rPr>
          <w:b/>
          <w:bCs/>
          <w:lang w:val="es-VE"/>
        </w:rPr>
      </w:pPr>
      <w:r w:rsidRPr="00370CD9">
        <w:rPr>
          <w:b/>
          <w:bCs/>
          <w:lang w:val="es-ES"/>
        </w:rPr>
        <w:t>Agenda de reunión:</w:t>
      </w:r>
    </w:p>
    <w:p w14:paraId="3D347425" w14:textId="3B4F63A5" w:rsidR="001E50ED" w:rsidRDefault="001E50ED" w:rsidP="001E50ED">
      <w:pPr>
        <w:spacing w:after="0"/>
        <w:rPr>
          <w:lang w:val="es-ES"/>
        </w:rPr>
      </w:pPr>
    </w:p>
    <w:p w14:paraId="3498E13B" w14:textId="77777777" w:rsidR="001E50ED" w:rsidRPr="001E50ED" w:rsidRDefault="001E50ED" w:rsidP="001E50ED">
      <w:pPr>
        <w:numPr>
          <w:ilvl w:val="0"/>
          <w:numId w:val="8"/>
        </w:numPr>
        <w:spacing w:after="0"/>
        <w:rPr>
          <w:lang w:val="es-VE"/>
        </w:rPr>
      </w:pPr>
      <w:r w:rsidRPr="001E50ED">
        <w:rPr>
          <w:lang w:val="es-ES"/>
        </w:rPr>
        <w:t>Aprobación de la minuta de la reunión anterior (25 febrero 2021)</w:t>
      </w:r>
    </w:p>
    <w:p w14:paraId="6805594A" w14:textId="77777777" w:rsidR="001E50ED" w:rsidRPr="001E50ED" w:rsidRDefault="001E50ED" w:rsidP="001E50ED">
      <w:pPr>
        <w:numPr>
          <w:ilvl w:val="0"/>
          <w:numId w:val="8"/>
        </w:numPr>
        <w:spacing w:after="0"/>
        <w:rPr>
          <w:lang w:val="es-VE"/>
        </w:rPr>
      </w:pPr>
      <w:r w:rsidRPr="001E50ED">
        <w:rPr>
          <w:lang w:val="es-ES"/>
        </w:rPr>
        <w:t>Resumen seguimiento Fondo Humanitario de Venezuela (OCHA)</w:t>
      </w:r>
    </w:p>
    <w:p w14:paraId="303F6950" w14:textId="77777777" w:rsidR="001E50ED" w:rsidRPr="001E50ED" w:rsidRDefault="001E50ED" w:rsidP="001E50ED">
      <w:pPr>
        <w:numPr>
          <w:ilvl w:val="0"/>
          <w:numId w:val="8"/>
        </w:numPr>
        <w:spacing w:after="0"/>
        <w:rPr>
          <w:lang w:val="es-VE"/>
        </w:rPr>
      </w:pPr>
      <w:r w:rsidRPr="001E50ED">
        <w:rPr>
          <w:lang w:val="es-ES"/>
        </w:rPr>
        <w:t>Resultados de monitoreo del Plan de Respuesta enero 2021 y productos Manejo de Información</w:t>
      </w:r>
    </w:p>
    <w:p w14:paraId="0BB7FE74" w14:textId="77777777" w:rsidR="001E50ED" w:rsidRPr="001E50ED" w:rsidRDefault="001E50ED" w:rsidP="001E50ED">
      <w:pPr>
        <w:numPr>
          <w:ilvl w:val="0"/>
          <w:numId w:val="8"/>
        </w:numPr>
        <w:spacing w:after="0"/>
        <w:rPr>
          <w:lang w:val="es-VE"/>
        </w:rPr>
      </w:pPr>
      <w:r w:rsidRPr="001E50ED">
        <w:rPr>
          <w:lang w:val="es-ES"/>
        </w:rPr>
        <w:t>Presentación estrategia Clúster de Alojamiento, Energía y Enseres</w:t>
      </w:r>
    </w:p>
    <w:p w14:paraId="2CA95A32" w14:textId="77777777" w:rsidR="001E50ED" w:rsidRPr="001E50ED" w:rsidRDefault="001E50ED" w:rsidP="001E50ED">
      <w:pPr>
        <w:numPr>
          <w:ilvl w:val="0"/>
          <w:numId w:val="8"/>
        </w:numPr>
        <w:spacing w:after="0"/>
      </w:pPr>
      <w:r w:rsidRPr="001E50ED">
        <w:rPr>
          <w:lang w:val="es-ES"/>
        </w:rPr>
        <w:t>Actualización de contexto clústeres subnacionales</w:t>
      </w:r>
    </w:p>
    <w:p w14:paraId="77F5F086" w14:textId="77777777" w:rsidR="001E50ED" w:rsidRPr="001E50ED" w:rsidRDefault="001E50ED" w:rsidP="001E50ED">
      <w:pPr>
        <w:numPr>
          <w:ilvl w:val="0"/>
          <w:numId w:val="8"/>
        </w:numPr>
        <w:spacing w:after="0"/>
      </w:pPr>
      <w:r w:rsidRPr="001E50ED">
        <w:rPr>
          <w:lang w:val="es-ES"/>
        </w:rPr>
        <w:t>Actualización organizaciones</w:t>
      </w:r>
    </w:p>
    <w:p w14:paraId="31194602" w14:textId="77777777" w:rsidR="001E50ED" w:rsidRPr="001E50ED" w:rsidRDefault="001E50ED" w:rsidP="001E50ED">
      <w:pPr>
        <w:numPr>
          <w:ilvl w:val="0"/>
          <w:numId w:val="8"/>
        </w:numPr>
        <w:spacing w:after="0"/>
      </w:pPr>
      <w:r w:rsidRPr="001E50ED">
        <w:rPr>
          <w:lang w:val="es-ES"/>
        </w:rPr>
        <w:t>AOB</w:t>
      </w:r>
    </w:p>
    <w:p w14:paraId="6FAE8635" w14:textId="77777777" w:rsidR="001E50ED" w:rsidRPr="001E50ED" w:rsidRDefault="001E50ED" w:rsidP="001E50ED">
      <w:pPr>
        <w:spacing w:after="0"/>
        <w:rPr>
          <w:lang w:val="es-ES"/>
        </w:rPr>
      </w:pPr>
    </w:p>
    <w:p w14:paraId="2E5DE7C1" w14:textId="639094C7" w:rsidR="008C77D2" w:rsidRDefault="008C77D2">
      <w:pPr>
        <w:rPr>
          <w:lang w:val="es-ES"/>
        </w:rPr>
      </w:pPr>
    </w:p>
    <w:p w14:paraId="3CA882F1" w14:textId="1C8BAC54" w:rsidR="008C77D2" w:rsidRPr="008C77D2" w:rsidRDefault="008C77D2" w:rsidP="00131D91">
      <w:pPr>
        <w:pStyle w:val="ListParagraph"/>
        <w:numPr>
          <w:ilvl w:val="0"/>
          <w:numId w:val="1"/>
        </w:numPr>
        <w:spacing w:line="276" w:lineRule="auto"/>
        <w:rPr>
          <w:b/>
          <w:bCs/>
          <w:lang w:val="es-ES"/>
        </w:rPr>
      </w:pPr>
      <w:r w:rsidRPr="008C77D2">
        <w:rPr>
          <w:b/>
          <w:bCs/>
          <w:lang w:val="es-ES"/>
        </w:rPr>
        <w:t>Aprobación minuta reunión anterior:</w:t>
      </w:r>
    </w:p>
    <w:p w14:paraId="4F871EEF" w14:textId="1DC999B7" w:rsidR="008C77D2" w:rsidRDefault="008C77D2" w:rsidP="00131D91">
      <w:pPr>
        <w:spacing w:line="276" w:lineRule="auto"/>
        <w:rPr>
          <w:lang w:val="es-ES"/>
        </w:rPr>
      </w:pPr>
      <w:r>
        <w:rPr>
          <w:lang w:val="es-ES"/>
        </w:rPr>
        <w:t>Sin comentarios adicionales a la minuta.</w:t>
      </w:r>
    </w:p>
    <w:p w14:paraId="5A1AC07E" w14:textId="77777777" w:rsidR="00411E04" w:rsidRDefault="00411E04" w:rsidP="00131D91">
      <w:pPr>
        <w:spacing w:line="276" w:lineRule="auto"/>
        <w:rPr>
          <w:lang w:val="es-ES"/>
        </w:rPr>
      </w:pPr>
    </w:p>
    <w:p w14:paraId="4038724E" w14:textId="77777777" w:rsidR="001E50ED" w:rsidRPr="001E50ED" w:rsidRDefault="001E50ED" w:rsidP="001E40D7">
      <w:pPr>
        <w:numPr>
          <w:ilvl w:val="0"/>
          <w:numId w:val="1"/>
        </w:numPr>
        <w:spacing w:line="276" w:lineRule="auto"/>
        <w:rPr>
          <w:b/>
          <w:bCs/>
          <w:lang w:val="es-VE"/>
        </w:rPr>
      </w:pPr>
      <w:r w:rsidRPr="001E50ED">
        <w:rPr>
          <w:b/>
          <w:bCs/>
          <w:lang w:val="es-ES"/>
        </w:rPr>
        <w:t>Resumen seguimiento Fondo Humanitario de Venezuela (OCHA)</w:t>
      </w:r>
    </w:p>
    <w:p w14:paraId="4A20041C" w14:textId="2A3DB9D7" w:rsidR="00107910" w:rsidRDefault="003A6732" w:rsidP="001E40D7">
      <w:pPr>
        <w:spacing w:line="276" w:lineRule="auto"/>
        <w:jc w:val="both"/>
        <w:rPr>
          <w:lang w:val="es-ES"/>
        </w:rPr>
      </w:pPr>
      <w:r>
        <w:rPr>
          <w:lang w:val="es-ES"/>
        </w:rPr>
        <w:t>Se está realizando la valoración de los proyectos multisectoriales presentados</w:t>
      </w:r>
      <w:r w:rsidR="000801DB">
        <w:rPr>
          <w:lang w:val="es-ES"/>
        </w:rPr>
        <w:t xml:space="preserve"> para el Fondo Humanitario de Venezuela</w:t>
      </w:r>
      <w:r>
        <w:rPr>
          <w:lang w:val="es-ES"/>
        </w:rPr>
        <w:t>. Se priorizaron 12 de 18 proyectos que están en proceso de revisión técnica</w:t>
      </w:r>
      <w:r w:rsidR="00547516">
        <w:rPr>
          <w:lang w:val="es-ES"/>
        </w:rPr>
        <w:t xml:space="preserve">.  </w:t>
      </w:r>
    </w:p>
    <w:p w14:paraId="7E183FB4" w14:textId="780B6E51" w:rsidR="003A6732" w:rsidRDefault="00547516" w:rsidP="00131D91">
      <w:pPr>
        <w:spacing w:line="276" w:lineRule="auto"/>
        <w:jc w:val="both"/>
        <w:rPr>
          <w:lang w:val="es-ES"/>
        </w:rPr>
      </w:pPr>
      <w:r>
        <w:rPr>
          <w:lang w:val="es-ES"/>
        </w:rPr>
        <w:t>El plazo para ajustes técnicos y financieros culmina el 29 de marzo</w:t>
      </w:r>
      <w:r w:rsidR="00107910">
        <w:rPr>
          <w:lang w:val="es-ES"/>
        </w:rPr>
        <w:t xml:space="preserve"> y l</w:t>
      </w:r>
      <w:r w:rsidR="00EF6E55">
        <w:rPr>
          <w:lang w:val="es-ES"/>
        </w:rPr>
        <w:t>a revisión final y aprobación de los proyectos está planificada para el mes de abril.</w:t>
      </w:r>
    </w:p>
    <w:p w14:paraId="47B1F2E3" w14:textId="77777777" w:rsidR="006F10B6" w:rsidRDefault="006F10B6" w:rsidP="006F10B6">
      <w:pPr>
        <w:pStyle w:val="ListParagraph"/>
        <w:rPr>
          <w:b/>
          <w:bCs/>
          <w:lang w:val="es-ES"/>
        </w:rPr>
      </w:pPr>
    </w:p>
    <w:p w14:paraId="7F800478" w14:textId="53D5AF46" w:rsidR="008C77D2" w:rsidRDefault="008C77D2" w:rsidP="008C77D2">
      <w:pPr>
        <w:pStyle w:val="ListParagraph"/>
        <w:numPr>
          <w:ilvl w:val="0"/>
          <w:numId w:val="1"/>
        </w:numPr>
        <w:rPr>
          <w:b/>
          <w:bCs/>
          <w:lang w:val="es-ES"/>
        </w:rPr>
      </w:pPr>
      <w:r w:rsidRPr="008C77D2">
        <w:rPr>
          <w:b/>
          <w:bCs/>
          <w:lang w:val="es-ES"/>
        </w:rPr>
        <w:t>Resultados de monitoreo del Plan de Respuesta 2020 y Plan de Preparación y Atención a la COVID-19</w:t>
      </w:r>
    </w:p>
    <w:p w14:paraId="7DF76414" w14:textId="0B74825D" w:rsidR="00FA0E56" w:rsidRDefault="004850CE" w:rsidP="003414C4">
      <w:pPr>
        <w:jc w:val="both"/>
        <w:rPr>
          <w:lang w:val="es-ES"/>
        </w:rPr>
      </w:pPr>
      <w:r>
        <w:rPr>
          <w:lang w:val="es-ES"/>
        </w:rPr>
        <w:t xml:space="preserve">Se presentan los </w:t>
      </w:r>
      <w:r w:rsidR="00C40853">
        <w:rPr>
          <w:lang w:val="es-ES"/>
        </w:rPr>
        <w:t xml:space="preserve">resultados del balance del monitoreo del Plan de Respuesta </w:t>
      </w:r>
      <w:r>
        <w:rPr>
          <w:lang w:val="es-ES"/>
        </w:rPr>
        <w:t xml:space="preserve">2020. El </w:t>
      </w:r>
      <w:r w:rsidRPr="003414C4">
        <w:rPr>
          <w:i/>
          <w:iCs/>
          <w:lang w:val="es-ES"/>
        </w:rPr>
        <w:t xml:space="preserve">dashboard </w:t>
      </w:r>
      <w:r>
        <w:rPr>
          <w:lang w:val="es-ES"/>
        </w:rPr>
        <w:t>de monitoreo de respuesta actualizado</w:t>
      </w:r>
      <w:r w:rsidR="00071B8C">
        <w:rPr>
          <w:lang w:val="es-ES"/>
        </w:rPr>
        <w:t xml:space="preserve"> hasta el final de febrero, el mapa de cobertura </w:t>
      </w:r>
      <w:r w:rsidR="00FA0E56">
        <w:rPr>
          <w:lang w:val="es-ES"/>
        </w:rPr>
        <w:t>y la ho</w:t>
      </w:r>
      <w:r w:rsidR="001B45B1">
        <w:rPr>
          <w:lang w:val="es-ES"/>
        </w:rPr>
        <w:t>j</w:t>
      </w:r>
      <w:r w:rsidR="00FA0E56">
        <w:rPr>
          <w:lang w:val="es-ES"/>
        </w:rPr>
        <w:t xml:space="preserve">a resumen mensual </w:t>
      </w:r>
      <w:r>
        <w:rPr>
          <w:lang w:val="es-ES"/>
        </w:rPr>
        <w:t>se encuentra</w:t>
      </w:r>
      <w:r w:rsidR="00FA0E56">
        <w:rPr>
          <w:lang w:val="es-ES"/>
        </w:rPr>
        <w:t>n</w:t>
      </w:r>
      <w:r>
        <w:rPr>
          <w:lang w:val="es-ES"/>
        </w:rPr>
        <w:t xml:space="preserve"> disponible en </w:t>
      </w:r>
      <w:r w:rsidR="00FA0E56">
        <w:rPr>
          <w:lang w:val="es-ES"/>
        </w:rPr>
        <w:t>los</w:t>
      </w:r>
      <w:r>
        <w:rPr>
          <w:lang w:val="es-ES"/>
        </w:rPr>
        <w:t xml:space="preserve"> siguiente</w:t>
      </w:r>
      <w:r w:rsidR="00FA0E56">
        <w:rPr>
          <w:lang w:val="es-ES"/>
        </w:rPr>
        <w:t>s</w:t>
      </w:r>
      <w:r>
        <w:rPr>
          <w:lang w:val="es-ES"/>
        </w:rPr>
        <w:t xml:space="preserve"> enlace</w:t>
      </w:r>
      <w:r w:rsidR="00411E04">
        <w:rPr>
          <w:lang w:val="es-ES"/>
        </w:rPr>
        <w:t>s</w:t>
      </w:r>
      <w:r>
        <w:rPr>
          <w:lang w:val="es-ES"/>
        </w:rPr>
        <w:t xml:space="preserve">: </w:t>
      </w:r>
    </w:p>
    <w:p w14:paraId="4505C032" w14:textId="16456666" w:rsidR="00FA0E56" w:rsidRDefault="0014289E" w:rsidP="00D54DCB">
      <w:pPr>
        <w:rPr>
          <w:lang w:val="es-VE"/>
        </w:rPr>
      </w:pPr>
      <w:hyperlink r:id="rId11" w:history="1">
        <w:r w:rsidR="00FA0E56" w:rsidRPr="00A55712">
          <w:rPr>
            <w:rStyle w:val="Hyperlink"/>
            <w:lang w:val="es-VE"/>
          </w:rPr>
          <w:t>https://bit.ly/ClusterAlojamiento_Venezuela_5W_2021</w:t>
        </w:r>
      </w:hyperlink>
      <w:r w:rsidR="00D54DCB" w:rsidRPr="00D54DCB">
        <w:rPr>
          <w:lang w:val="es-VE"/>
        </w:rPr>
        <w:t xml:space="preserve"> </w:t>
      </w:r>
    </w:p>
    <w:p w14:paraId="137077AE" w14:textId="5FC3890C" w:rsidR="0033410B" w:rsidRDefault="0014289E" w:rsidP="0033410B">
      <w:pPr>
        <w:rPr>
          <w:lang w:val="es-VE"/>
        </w:rPr>
      </w:pPr>
      <w:hyperlink r:id="rId12" w:history="1">
        <w:r w:rsidR="0033410B" w:rsidRPr="0033410B">
          <w:rPr>
            <w:rStyle w:val="Hyperlink"/>
            <w:lang w:val="es-VE"/>
          </w:rPr>
          <w:t>https://www.sheltercluster.org/venezuela/factsheets/2021-02</w:t>
        </w:r>
      </w:hyperlink>
      <w:r w:rsidR="0033410B" w:rsidRPr="0033410B">
        <w:rPr>
          <w:lang w:val="es-VE"/>
        </w:rPr>
        <w:t xml:space="preserve">   </w:t>
      </w:r>
    </w:p>
    <w:p w14:paraId="6B6D881E" w14:textId="5F750368" w:rsidR="00071B8C" w:rsidRPr="0033410B" w:rsidRDefault="0014289E" w:rsidP="0033410B">
      <w:pPr>
        <w:rPr>
          <w:lang w:val="es-VE"/>
        </w:rPr>
      </w:pPr>
      <w:hyperlink r:id="rId13" w:history="1">
        <w:r w:rsidRPr="0087389E">
          <w:rPr>
            <w:rStyle w:val="Hyperlink"/>
            <w:lang w:val="es-VE"/>
          </w:rPr>
          <w:t>https://www.sheltercluster.org/venezuela/documents/cobertura-implementacion-socios-febrero-2021</w:t>
        </w:r>
      </w:hyperlink>
      <w:r>
        <w:rPr>
          <w:lang w:val="es-VE"/>
        </w:rPr>
        <w:t xml:space="preserve"> </w:t>
      </w:r>
    </w:p>
    <w:p w14:paraId="0BE509AF" w14:textId="77777777" w:rsidR="0033410B" w:rsidRPr="00D54DCB" w:rsidRDefault="0033410B" w:rsidP="00D54DCB">
      <w:pPr>
        <w:rPr>
          <w:lang w:val="es-VE"/>
        </w:rPr>
      </w:pPr>
    </w:p>
    <w:p w14:paraId="0EDB981A" w14:textId="77777777" w:rsidR="009F7803" w:rsidRDefault="009F7803" w:rsidP="00C40853">
      <w:pPr>
        <w:rPr>
          <w:lang w:val="es-ES"/>
        </w:rPr>
      </w:pPr>
    </w:p>
    <w:p w14:paraId="1824C283" w14:textId="417B6C20" w:rsidR="009F7803" w:rsidRPr="00C40853" w:rsidRDefault="006870E5" w:rsidP="00C40853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61EFD16" wp14:editId="510FD91C">
            <wp:extent cx="5454650" cy="28983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140" cy="290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99369" w14:textId="77777777" w:rsidR="001278DE" w:rsidRDefault="001278DE" w:rsidP="00733F0E">
      <w:pPr>
        <w:ind w:left="360"/>
        <w:jc w:val="both"/>
        <w:rPr>
          <w:lang w:val="es-ES"/>
        </w:rPr>
      </w:pPr>
    </w:p>
    <w:p w14:paraId="79E718F8" w14:textId="171B980E" w:rsidR="00733F0E" w:rsidRDefault="004A596F" w:rsidP="00B953FD">
      <w:pPr>
        <w:jc w:val="both"/>
        <w:rPr>
          <w:lang w:val="es-ES"/>
        </w:rPr>
      </w:pPr>
      <w:r w:rsidRPr="00164BE2">
        <w:rPr>
          <w:lang w:val="es-ES"/>
        </w:rPr>
        <w:t>Se presentan los resultados del Mapeo de Presencia y Capacidad O</w:t>
      </w:r>
      <w:r w:rsidR="00733F0E" w:rsidRPr="00164BE2">
        <w:rPr>
          <w:lang w:val="es-ES"/>
        </w:rPr>
        <w:t>perativa de los Socios</w:t>
      </w:r>
      <w:r w:rsidR="001278DE" w:rsidRPr="00164BE2">
        <w:rPr>
          <w:lang w:val="es-ES"/>
        </w:rPr>
        <w:t xml:space="preserve"> co</w:t>
      </w:r>
      <w:r w:rsidR="00CA5E18" w:rsidRPr="00164BE2">
        <w:rPr>
          <w:lang w:val="es-ES"/>
        </w:rPr>
        <w:t>n la participación de 24 organizaciones</w:t>
      </w:r>
      <w:r w:rsidR="00733F0E" w:rsidRPr="00164BE2">
        <w:rPr>
          <w:lang w:val="es-ES"/>
        </w:rPr>
        <w:t>.</w:t>
      </w:r>
      <w:r w:rsidR="00DD7197" w:rsidRPr="00164BE2">
        <w:rPr>
          <w:lang w:val="es-ES"/>
        </w:rPr>
        <w:t xml:space="preserve"> Como datos resaltantes</w:t>
      </w:r>
      <w:r w:rsidR="00AC316A" w:rsidRPr="00164BE2">
        <w:rPr>
          <w:lang w:val="es-ES"/>
        </w:rPr>
        <w:t xml:space="preserve"> del mapeo y capacidades de los socios</w:t>
      </w:r>
      <w:r w:rsidR="00DD7197" w:rsidRPr="00164BE2">
        <w:rPr>
          <w:lang w:val="es-ES"/>
        </w:rPr>
        <w:t xml:space="preserve">, se </w:t>
      </w:r>
      <w:r w:rsidR="00B01BB9" w:rsidRPr="00164BE2">
        <w:rPr>
          <w:lang w:val="es-ES"/>
        </w:rPr>
        <w:t>destaca que la mayoría de los socios (76</w:t>
      </w:r>
      <w:r w:rsidR="00B01BB9">
        <w:rPr>
          <w:lang w:val="es-ES"/>
        </w:rPr>
        <w:t xml:space="preserve">%) realiza </w:t>
      </w:r>
      <w:r w:rsidR="00AC316A">
        <w:rPr>
          <w:lang w:val="es-ES"/>
        </w:rPr>
        <w:t>adquisiciones</w:t>
      </w:r>
      <w:r w:rsidR="00B01BB9">
        <w:rPr>
          <w:lang w:val="es-ES"/>
        </w:rPr>
        <w:t xml:space="preserve"> de insumos</w:t>
      </w:r>
      <w:r w:rsidR="00AC316A">
        <w:rPr>
          <w:lang w:val="es-ES"/>
        </w:rPr>
        <w:t xml:space="preserve"> </w:t>
      </w:r>
      <w:r w:rsidR="00071B8C">
        <w:rPr>
          <w:lang w:val="es-ES"/>
        </w:rPr>
        <w:t xml:space="preserve">estatales </w:t>
      </w:r>
      <w:r w:rsidR="00B01BB9">
        <w:rPr>
          <w:lang w:val="es-ES"/>
        </w:rPr>
        <w:t>o nacionales, mientras que el 26% realiza compras internacionales.</w:t>
      </w:r>
      <w:r w:rsidR="00AC316A">
        <w:rPr>
          <w:lang w:val="es-ES"/>
        </w:rPr>
        <w:t xml:space="preserve">  </w:t>
      </w:r>
      <w:r w:rsidR="000B6618">
        <w:rPr>
          <w:lang w:val="es-ES"/>
        </w:rPr>
        <w:t>El acceso a gasolina (76%), acceso a salvoconducto (60%),</w:t>
      </w:r>
      <w:r w:rsidR="001D4B52">
        <w:rPr>
          <w:lang w:val="es-ES"/>
        </w:rPr>
        <w:t xml:space="preserve"> adquisición de insumos (32%) y seguridad (28%) s</w:t>
      </w:r>
      <w:r w:rsidR="008873E1">
        <w:rPr>
          <w:lang w:val="es-ES"/>
        </w:rPr>
        <w:t xml:space="preserve">on las principales dificultades de implementación reportadas por los socios. Se destaca adicionalmente que </w:t>
      </w:r>
      <w:r w:rsidR="00F707CA">
        <w:rPr>
          <w:lang w:val="es-ES"/>
        </w:rPr>
        <w:t xml:space="preserve">los </w:t>
      </w:r>
      <w:r w:rsidR="00071B8C">
        <w:rPr>
          <w:lang w:val="es-ES"/>
        </w:rPr>
        <w:t xml:space="preserve">socios </w:t>
      </w:r>
      <w:r w:rsidR="00F707CA">
        <w:rPr>
          <w:lang w:val="es-ES"/>
        </w:rPr>
        <w:t xml:space="preserve">del </w:t>
      </w:r>
      <w:r w:rsidR="00931A0B">
        <w:rPr>
          <w:lang w:val="es-ES"/>
        </w:rPr>
        <w:t>Clúster</w:t>
      </w:r>
      <w:r w:rsidR="00F707CA">
        <w:rPr>
          <w:lang w:val="es-ES"/>
        </w:rPr>
        <w:t xml:space="preserve"> de Alojamiento, Energía y Enseres realizan también trabajos con otros clústere</w:t>
      </w:r>
      <w:r w:rsidR="00931A0B">
        <w:rPr>
          <w:lang w:val="es-ES"/>
        </w:rPr>
        <w:t>s</w:t>
      </w:r>
      <w:r w:rsidR="00CB66BE">
        <w:rPr>
          <w:lang w:val="es-ES"/>
        </w:rPr>
        <w:t>, siendo lo más resaltante</w:t>
      </w:r>
      <w:r w:rsidR="00931A0B">
        <w:rPr>
          <w:lang w:val="es-ES"/>
        </w:rPr>
        <w:t xml:space="preserve"> </w:t>
      </w:r>
      <w:r w:rsidR="00071B8C">
        <w:rPr>
          <w:lang w:val="es-ES"/>
        </w:rPr>
        <w:t xml:space="preserve">un </w:t>
      </w:r>
      <w:r w:rsidR="00931A0B">
        <w:rPr>
          <w:lang w:val="es-ES"/>
        </w:rPr>
        <w:t>72% con el Clúster de Protección</w:t>
      </w:r>
      <w:r w:rsidR="003527E6">
        <w:rPr>
          <w:lang w:val="es-ES"/>
        </w:rPr>
        <w:t xml:space="preserve">, 68% </w:t>
      </w:r>
      <w:r w:rsidR="00CB66BE">
        <w:rPr>
          <w:lang w:val="es-ES"/>
        </w:rPr>
        <w:t>S</w:t>
      </w:r>
      <w:r w:rsidR="003527E6">
        <w:rPr>
          <w:lang w:val="es-ES"/>
        </w:rPr>
        <w:t xml:space="preserve">eguridad </w:t>
      </w:r>
      <w:r w:rsidR="00CB66BE">
        <w:rPr>
          <w:lang w:val="es-ES"/>
        </w:rPr>
        <w:t>A</w:t>
      </w:r>
      <w:r w:rsidR="003527E6">
        <w:rPr>
          <w:lang w:val="es-ES"/>
        </w:rPr>
        <w:t xml:space="preserve">limentaria y </w:t>
      </w:r>
      <w:r w:rsidR="00164BE2">
        <w:rPr>
          <w:lang w:val="es-ES"/>
        </w:rPr>
        <w:t xml:space="preserve">Medios de Vida, y </w:t>
      </w:r>
      <w:r w:rsidR="003527E6">
        <w:rPr>
          <w:lang w:val="es-ES"/>
        </w:rPr>
        <w:t>48% Agua, Higiene y Saneamiento.</w:t>
      </w:r>
    </w:p>
    <w:p w14:paraId="1FC15F35" w14:textId="08517146" w:rsidR="006312B1" w:rsidRDefault="006312B1" w:rsidP="006312B1">
      <w:pPr>
        <w:jc w:val="both"/>
        <w:rPr>
          <w:lang w:val="es-ES"/>
        </w:rPr>
      </w:pPr>
      <w:r>
        <w:rPr>
          <w:lang w:val="es-ES"/>
        </w:rPr>
        <w:t>Se</w:t>
      </w:r>
      <w:r w:rsidR="00923713">
        <w:rPr>
          <w:lang w:val="es-ES"/>
        </w:rPr>
        <w:t xml:space="preserve"> informa que </w:t>
      </w:r>
      <w:r w:rsidR="00E176F7">
        <w:rPr>
          <w:lang w:val="es-ES"/>
        </w:rPr>
        <w:t>será compartido e</w:t>
      </w:r>
      <w:r w:rsidR="00923713">
        <w:rPr>
          <w:lang w:val="es-ES"/>
        </w:rPr>
        <w:t xml:space="preserve">l </w:t>
      </w:r>
      <w:r w:rsidR="00E176F7">
        <w:rPr>
          <w:lang w:val="es-ES"/>
        </w:rPr>
        <w:t xml:space="preserve">borrador del </w:t>
      </w:r>
      <w:r w:rsidR="00B05F7E">
        <w:rPr>
          <w:lang w:val="es-ES"/>
        </w:rPr>
        <w:t>Informe Anual del Clúster</w:t>
      </w:r>
      <w:r w:rsidR="00E176F7">
        <w:rPr>
          <w:lang w:val="es-ES"/>
        </w:rPr>
        <w:t xml:space="preserve"> de 2020</w:t>
      </w:r>
      <w:r w:rsidR="007409F8">
        <w:rPr>
          <w:lang w:val="es-ES"/>
        </w:rPr>
        <w:t>.</w:t>
      </w:r>
    </w:p>
    <w:p w14:paraId="7FE20E2D" w14:textId="77777777" w:rsidR="0097441A" w:rsidRDefault="0097441A" w:rsidP="005B2049">
      <w:pPr>
        <w:spacing w:after="0"/>
        <w:jc w:val="both"/>
        <w:rPr>
          <w:lang w:val="es-ES"/>
        </w:rPr>
      </w:pPr>
    </w:p>
    <w:p w14:paraId="64FCC914" w14:textId="167C008F" w:rsidR="0097441A" w:rsidRDefault="001E50ED" w:rsidP="007257CA">
      <w:pPr>
        <w:pStyle w:val="ListParagraph"/>
        <w:numPr>
          <w:ilvl w:val="0"/>
          <w:numId w:val="1"/>
        </w:numPr>
        <w:spacing w:after="0"/>
        <w:rPr>
          <w:b/>
          <w:bCs/>
          <w:lang w:val="es-ES"/>
        </w:rPr>
      </w:pPr>
      <w:r w:rsidRPr="001E50ED">
        <w:rPr>
          <w:b/>
          <w:bCs/>
          <w:lang w:val="es-ES"/>
        </w:rPr>
        <w:t>Presentación estrategia Clúster de Alojamiento, Energía y Enseres</w:t>
      </w:r>
      <w:r w:rsidR="0097441A" w:rsidRPr="0097441A">
        <w:rPr>
          <w:b/>
          <w:bCs/>
          <w:lang w:val="es-ES"/>
        </w:rPr>
        <w:t xml:space="preserve"> </w:t>
      </w:r>
    </w:p>
    <w:p w14:paraId="2E2E221A" w14:textId="38DD7A3D" w:rsidR="00C76521" w:rsidRDefault="00C76521" w:rsidP="00C76521">
      <w:pPr>
        <w:pStyle w:val="ListParagraph"/>
        <w:spacing w:after="0"/>
        <w:rPr>
          <w:b/>
          <w:bCs/>
          <w:lang w:val="es-ES"/>
        </w:rPr>
      </w:pPr>
    </w:p>
    <w:p w14:paraId="2E34CDCE" w14:textId="77777777" w:rsidR="00FB4B12" w:rsidRPr="00FB4B12" w:rsidRDefault="00FB4B12" w:rsidP="00FB4B12">
      <w:pPr>
        <w:pStyle w:val="ListParagraph"/>
        <w:numPr>
          <w:ilvl w:val="0"/>
          <w:numId w:val="15"/>
        </w:numPr>
        <w:jc w:val="both"/>
        <w:rPr>
          <w:lang w:val="es-VE"/>
        </w:rPr>
      </w:pPr>
      <w:r w:rsidRPr="00FB4B12">
        <w:rPr>
          <w:lang w:val="es-VE"/>
        </w:rPr>
        <w:t>Se tomaron en consideración los aportes de las organizaciones socias del clúster. Se recibieron 27 insumos que fueron agrupados en 9 áreas de acción.</w:t>
      </w:r>
    </w:p>
    <w:p w14:paraId="3AC8277C" w14:textId="77777777" w:rsidR="00FB4B12" w:rsidRPr="00FB4B12" w:rsidRDefault="00FB4B12" w:rsidP="00FB4B12">
      <w:pPr>
        <w:pStyle w:val="ListParagraph"/>
        <w:numPr>
          <w:ilvl w:val="0"/>
          <w:numId w:val="15"/>
        </w:numPr>
        <w:jc w:val="both"/>
        <w:rPr>
          <w:lang w:val="es-VE"/>
        </w:rPr>
      </w:pPr>
      <w:r w:rsidRPr="00FB4B12">
        <w:rPr>
          <w:lang w:val="es-VE"/>
        </w:rPr>
        <w:t xml:space="preserve">El equipo de coordinación del clúster elaboró un documento inicial siguiendo un formato definido por el Clúster Global de Alojamiento. </w:t>
      </w:r>
    </w:p>
    <w:p w14:paraId="2B9F9D1C" w14:textId="77777777" w:rsidR="00FB4B12" w:rsidRPr="00FB4B12" w:rsidRDefault="00FB4B12" w:rsidP="00FB4B12">
      <w:pPr>
        <w:pStyle w:val="ListParagraph"/>
        <w:numPr>
          <w:ilvl w:val="0"/>
          <w:numId w:val="15"/>
        </w:numPr>
        <w:jc w:val="both"/>
        <w:rPr>
          <w:lang w:val="es-VE"/>
        </w:rPr>
      </w:pPr>
      <w:r w:rsidRPr="00FB4B12">
        <w:rPr>
          <w:lang w:val="es-VE"/>
        </w:rPr>
        <w:t>El borrador ha sido compartido con los clústeres subnacionales y con el Grupo Consultivo Estratégico (SAG, por sus siglas en inglés) para comentarios y aportes adicionales.</w:t>
      </w:r>
    </w:p>
    <w:p w14:paraId="255B0594" w14:textId="5987B929" w:rsidR="00FB4B12" w:rsidRDefault="00FB4B12" w:rsidP="00FB4B12">
      <w:pPr>
        <w:pStyle w:val="ListParagraph"/>
        <w:numPr>
          <w:ilvl w:val="0"/>
          <w:numId w:val="15"/>
        </w:numPr>
        <w:jc w:val="both"/>
        <w:rPr>
          <w:lang w:val="es-VE"/>
        </w:rPr>
      </w:pPr>
      <w:r w:rsidRPr="00FB4B12">
        <w:rPr>
          <w:lang w:val="es-VE"/>
        </w:rPr>
        <w:t>El clúster se encuentra incorporando los comentarios y aportes para compartir una versión final de la estrategia.</w:t>
      </w:r>
    </w:p>
    <w:p w14:paraId="23A73B9F" w14:textId="0A852533" w:rsidR="00FB4B12" w:rsidRPr="000728A4" w:rsidRDefault="000728A4" w:rsidP="00EF1402">
      <w:pPr>
        <w:pStyle w:val="ListParagraph"/>
        <w:numPr>
          <w:ilvl w:val="0"/>
          <w:numId w:val="15"/>
        </w:numPr>
        <w:spacing w:after="0"/>
        <w:jc w:val="both"/>
        <w:rPr>
          <w:lang w:val="es-VE"/>
        </w:rPr>
      </w:pPr>
      <w:r w:rsidRPr="000728A4">
        <w:rPr>
          <w:lang w:val="es-VE"/>
        </w:rPr>
        <w:t>Se presentaron las principales áreas de respuesta para 2021.</w:t>
      </w:r>
    </w:p>
    <w:p w14:paraId="3091460A" w14:textId="5038C9B8" w:rsidR="006359B7" w:rsidRDefault="006359B7" w:rsidP="00C76521">
      <w:pPr>
        <w:pStyle w:val="ListParagraph"/>
        <w:spacing w:after="0"/>
        <w:rPr>
          <w:lang w:val="es-VE"/>
        </w:rPr>
      </w:pPr>
    </w:p>
    <w:p w14:paraId="2D9F7AC0" w14:textId="30F0DB96" w:rsidR="006359B7" w:rsidRDefault="006359B7" w:rsidP="00C76521">
      <w:pPr>
        <w:pStyle w:val="ListParagraph"/>
        <w:spacing w:after="0"/>
        <w:rPr>
          <w:lang w:val="es-VE"/>
        </w:rPr>
      </w:pPr>
      <w:r>
        <w:rPr>
          <w:noProof/>
        </w:rPr>
        <w:lastRenderedPageBreak/>
        <w:drawing>
          <wp:inline distT="0" distB="0" distL="0" distR="0" wp14:anchorId="302164A7" wp14:editId="07794008">
            <wp:extent cx="5435600" cy="3198642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40646" cy="320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DCF7" w14:textId="583DB08B" w:rsidR="000728A4" w:rsidRDefault="000728A4" w:rsidP="00AE2088">
      <w:pPr>
        <w:pStyle w:val="ListParagraph"/>
        <w:spacing w:after="0"/>
        <w:jc w:val="both"/>
        <w:rPr>
          <w:lang w:val="es-VE"/>
        </w:rPr>
      </w:pPr>
    </w:p>
    <w:p w14:paraId="2A1A713B" w14:textId="2BD5A916" w:rsidR="00151AB8" w:rsidRDefault="0069003C" w:rsidP="00AE2088">
      <w:pPr>
        <w:pStyle w:val="ListParagraph"/>
        <w:spacing w:after="0"/>
        <w:ind w:left="360"/>
        <w:jc w:val="both"/>
        <w:rPr>
          <w:lang w:val="es-VE"/>
        </w:rPr>
      </w:pPr>
      <w:r>
        <w:rPr>
          <w:lang w:val="es-VE"/>
        </w:rPr>
        <w:t>Se indica que</w:t>
      </w:r>
      <w:r w:rsidR="007C47C0">
        <w:rPr>
          <w:lang w:val="es-VE"/>
        </w:rPr>
        <w:t xml:space="preserve"> aspectos más específicos de la respuesta como atención a </w:t>
      </w:r>
      <w:r>
        <w:rPr>
          <w:lang w:val="es-VE"/>
        </w:rPr>
        <w:t xml:space="preserve">personas indígenas y personas con discapacidad, así como espacios de alojamiento para sobrevivientes de violencia de género </w:t>
      </w:r>
      <w:r w:rsidR="007C47C0">
        <w:rPr>
          <w:lang w:val="es-VE"/>
        </w:rPr>
        <w:t>se encuentran incluidas en el desglose de las acciones a nivel comunitario en la estrategia.</w:t>
      </w:r>
      <w:r w:rsidR="00AE2088">
        <w:rPr>
          <w:lang w:val="es-VE"/>
        </w:rPr>
        <w:t xml:space="preserve">  Se invita a realizar comentarios </w:t>
      </w:r>
      <w:r w:rsidR="0046097D">
        <w:rPr>
          <w:lang w:val="es-VE"/>
        </w:rPr>
        <w:t xml:space="preserve">en el documento compartido de la estrategia </w:t>
      </w:r>
      <w:r w:rsidR="00DD239C">
        <w:rPr>
          <w:lang w:val="es-VE"/>
        </w:rPr>
        <w:t>para incorporar cualquier sugerencia</w:t>
      </w:r>
      <w:r w:rsidR="0046097D">
        <w:rPr>
          <w:lang w:val="es-VE"/>
        </w:rPr>
        <w:t>.</w:t>
      </w:r>
    </w:p>
    <w:p w14:paraId="122ECDF8" w14:textId="77777777" w:rsidR="00151AB8" w:rsidRPr="00FB4B12" w:rsidRDefault="00151AB8" w:rsidP="00C76521">
      <w:pPr>
        <w:pStyle w:val="ListParagraph"/>
        <w:spacing w:after="0"/>
        <w:rPr>
          <w:lang w:val="es-VE"/>
        </w:rPr>
      </w:pPr>
    </w:p>
    <w:p w14:paraId="1BC59475" w14:textId="26F8164B" w:rsidR="0097441A" w:rsidRPr="0097441A" w:rsidRDefault="00C76521" w:rsidP="00BD7FBA">
      <w:pPr>
        <w:pStyle w:val="ListParagraph"/>
        <w:numPr>
          <w:ilvl w:val="0"/>
          <w:numId w:val="1"/>
        </w:num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Actualización de Contexto Clústeres Subnacionales</w:t>
      </w:r>
    </w:p>
    <w:p w14:paraId="61495137" w14:textId="77777777" w:rsidR="0090208A" w:rsidRPr="0090208A" w:rsidRDefault="0090208A" w:rsidP="0090208A">
      <w:pPr>
        <w:pStyle w:val="ListParagraph"/>
        <w:spacing w:after="0"/>
        <w:jc w:val="both"/>
        <w:rPr>
          <w:lang w:val="es-ES"/>
        </w:rPr>
      </w:pPr>
    </w:p>
    <w:p w14:paraId="18317751" w14:textId="0FB9DE50" w:rsidR="00EF53E9" w:rsidRPr="00EF53E9" w:rsidRDefault="00EF53E9" w:rsidP="00D77A89">
      <w:pPr>
        <w:pStyle w:val="ListParagraph"/>
        <w:numPr>
          <w:ilvl w:val="0"/>
          <w:numId w:val="5"/>
        </w:numPr>
        <w:spacing w:after="0"/>
        <w:jc w:val="both"/>
        <w:rPr>
          <w:lang w:val="es-ES"/>
        </w:rPr>
      </w:pPr>
      <w:r w:rsidRPr="00087A3B">
        <w:rPr>
          <w:b/>
          <w:bCs/>
          <w:lang w:val="es-ES"/>
        </w:rPr>
        <w:t>Apure:</w:t>
      </w:r>
      <w:r w:rsidR="00BE0470">
        <w:rPr>
          <w:lang w:val="es-ES"/>
        </w:rPr>
        <w:t xml:space="preserve"> </w:t>
      </w:r>
      <w:r w:rsidR="0030584D">
        <w:rPr>
          <w:lang w:val="es-ES"/>
        </w:rPr>
        <w:t>Dentro del plan de actividades para Apure y Barinas se tiene contemplad</w:t>
      </w:r>
      <w:r w:rsidR="00C25FBA">
        <w:rPr>
          <w:lang w:val="es-ES"/>
        </w:rPr>
        <w:t>a la</w:t>
      </w:r>
      <w:r w:rsidR="0030584D">
        <w:rPr>
          <w:lang w:val="es-ES"/>
        </w:rPr>
        <w:t xml:space="preserve"> rehabilitación de </w:t>
      </w:r>
      <w:r w:rsidR="00F678D4">
        <w:rPr>
          <w:lang w:val="es-ES"/>
        </w:rPr>
        <w:t>centros de atención de adultos mayores</w:t>
      </w:r>
      <w:r w:rsidR="00DF6C6C">
        <w:rPr>
          <w:lang w:val="es-ES"/>
        </w:rPr>
        <w:t>, rehabilitaciones e</w:t>
      </w:r>
      <w:r w:rsidR="00FA6160">
        <w:rPr>
          <w:lang w:val="es-ES"/>
        </w:rPr>
        <w:t xml:space="preserve">n centros de salud, ambulatorios, </w:t>
      </w:r>
      <w:proofErr w:type="spellStart"/>
      <w:r w:rsidR="00FA6160">
        <w:rPr>
          <w:lang w:val="es-ES"/>
        </w:rPr>
        <w:t>CDIs</w:t>
      </w:r>
      <w:proofErr w:type="spellEnd"/>
      <w:r w:rsidR="00FA6160">
        <w:rPr>
          <w:lang w:val="es-ES"/>
        </w:rPr>
        <w:t xml:space="preserve"> y hospitales</w:t>
      </w:r>
      <w:r w:rsidR="00AE15FB">
        <w:rPr>
          <w:lang w:val="es-ES"/>
        </w:rPr>
        <w:t>, así como intervenciones en registros civiles</w:t>
      </w:r>
      <w:r w:rsidR="00984061">
        <w:rPr>
          <w:lang w:val="es-ES"/>
        </w:rPr>
        <w:t>,</w:t>
      </w:r>
      <w:r w:rsidR="00AE15FB">
        <w:rPr>
          <w:lang w:val="es-ES"/>
        </w:rPr>
        <w:t xml:space="preserve"> casas de pas</w:t>
      </w:r>
      <w:r w:rsidR="00984061">
        <w:rPr>
          <w:lang w:val="es-ES"/>
        </w:rPr>
        <w:t>o y centros educativos</w:t>
      </w:r>
      <w:r w:rsidR="00F678D4">
        <w:rPr>
          <w:lang w:val="es-ES"/>
        </w:rPr>
        <w:t xml:space="preserve">.  </w:t>
      </w:r>
      <w:r w:rsidR="00984061">
        <w:rPr>
          <w:lang w:val="es-ES"/>
        </w:rPr>
        <w:t>Dentro de la situación de la zona de frontera en la población de la Victoria</w:t>
      </w:r>
      <w:r w:rsidR="005C1419">
        <w:rPr>
          <w:lang w:val="es-ES"/>
        </w:rPr>
        <w:t xml:space="preserve"> desde el domingo en horas de la mañana</w:t>
      </w:r>
      <w:r w:rsidR="00984061">
        <w:rPr>
          <w:lang w:val="es-ES"/>
        </w:rPr>
        <w:t>, s</w:t>
      </w:r>
      <w:r w:rsidR="00CF6EE2">
        <w:rPr>
          <w:lang w:val="es-ES"/>
        </w:rPr>
        <w:t xml:space="preserve">e reporta enfrentamiento entre fuerzas armada venezolanas y disidentes de las FARC.  Como consecuencia, </w:t>
      </w:r>
      <w:r w:rsidR="000E481B">
        <w:rPr>
          <w:lang w:val="es-ES"/>
        </w:rPr>
        <w:t xml:space="preserve">se han generado </w:t>
      </w:r>
      <w:r w:rsidR="00EF0245">
        <w:rPr>
          <w:lang w:val="es-ES"/>
        </w:rPr>
        <w:t>desplazamiento</w:t>
      </w:r>
      <w:r w:rsidR="000E481B">
        <w:rPr>
          <w:lang w:val="es-ES"/>
        </w:rPr>
        <w:t>s</w:t>
      </w:r>
      <w:r w:rsidR="00EF0245">
        <w:rPr>
          <w:lang w:val="es-ES"/>
        </w:rPr>
        <w:t xml:space="preserve"> de más de 3000 personas hacia Colombia</w:t>
      </w:r>
      <w:r w:rsidR="000E481B">
        <w:rPr>
          <w:lang w:val="es-ES"/>
        </w:rPr>
        <w:t>, así como movilizaciones al sector de</w:t>
      </w:r>
      <w:r w:rsidR="005D2F64">
        <w:rPr>
          <w:lang w:val="es-ES"/>
        </w:rPr>
        <w:t xml:space="preserve"> El</w:t>
      </w:r>
      <w:r w:rsidR="000E481B">
        <w:rPr>
          <w:lang w:val="es-ES"/>
        </w:rPr>
        <w:t xml:space="preserve"> Nula</w:t>
      </w:r>
      <w:r w:rsidR="00630FA6">
        <w:rPr>
          <w:lang w:val="es-ES"/>
        </w:rPr>
        <w:t xml:space="preserve"> que podr</w:t>
      </w:r>
      <w:r w:rsidR="008F1C0C">
        <w:rPr>
          <w:lang w:val="es-ES"/>
        </w:rPr>
        <w:t>ía</w:t>
      </w:r>
      <w:r w:rsidR="00630FA6">
        <w:rPr>
          <w:lang w:val="es-ES"/>
        </w:rPr>
        <w:t xml:space="preserve">n ser atendidos </w:t>
      </w:r>
      <w:r w:rsidR="008F1C0C">
        <w:rPr>
          <w:lang w:val="es-ES"/>
        </w:rPr>
        <w:t>en</w:t>
      </w:r>
      <w:r w:rsidR="00630FA6">
        <w:rPr>
          <w:lang w:val="es-ES"/>
        </w:rPr>
        <w:t xml:space="preserve"> la casa de paso habilitada</w:t>
      </w:r>
      <w:r w:rsidR="008F1C0C">
        <w:rPr>
          <w:lang w:val="es-ES"/>
        </w:rPr>
        <w:t xml:space="preserve"> en la zona</w:t>
      </w:r>
      <w:r w:rsidR="00EF0245">
        <w:rPr>
          <w:lang w:val="es-ES"/>
        </w:rPr>
        <w:t xml:space="preserve">.  </w:t>
      </w:r>
      <w:r w:rsidR="00630FA6">
        <w:rPr>
          <w:lang w:val="es-ES"/>
        </w:rPr>
        <w:t>Se reportan además c</w:t>
      </w:r>
      <w:r w:rsidR="00AD29E8">
        <w:rPr>
          <w:lang w:val="es-ES"/>
        </w:rPr>
        <w:t xml:space="preserve">ortes de servicio eléctrico por 2 a 3 días, bombardeos, cruces de tanquetas y convoy son parte de la situación que se registra.  </w:t>
      </w:r>
      <w:r w:rsidR="00EF0245">
        <w:rPr>
          <w:lang w:val="es-ES"/>
        </w:rPr>
        <w:t xml:space="preserve">Hasta el momento, las autoridades no </w:t>
      </w:r>
      <w:r w:rsidR="00630FA6">
        <w:rPr>
          <w:lang w:val="es-ES"/>
        </w:rPr>
        <w:t xml:space="preserve">nos </w:t>
      </w:r>
      <w:r w:rsidR="00EF0245">
        <w:rPr>
          <w:lang w:val="es-ES"/>
        </w:rPr>
        <w:t xml:space="preserve">han solicitado apoyo.  </w:t>
      </w:r>
      <w:r w:rsidR="00172345">
        <w:rPr>
          <w:lang w:val="es-ES"/>
        </w:rPr>
        <w:t xml:space="preserve">En Guasdualito, se cuenta con </w:t>
      </w:r>
      <w:r w:rsidR="009D20D6">
        <w:rPr>
          <w:lang w:val="es-ES"/>
        </w:rPr>
        <w:t xml:space="preserve">espacios rehabilitados para recibir personas.  Se han recibido niños y niñas separados que han sido resguardados en Casa de Abrigo rehabilitadas.  </w:t>
      </w:r>
      <w:r w:rsidR="00452BB7">
        <w:rPr>
          <w:lang w:val="es-ES"/>
        </w:rPr>
        <w:t xml:space="preserve"> El </w:t>
      </w:r>
      <w:r w:rsidR="00087A3B">
        <w:rPr>
          <w:lang w:val="es-ES"/>
        </w:rPr>
        <w:t>Clúster</w:t>
      </w:r>
      <w:r w:rsidR="00452BB7">
        <w:rPr>
          <w:lang w:val="es-ES"/>
        </w:rPr>
        <w:t xml:space="preserve"> manifiesta</w:t>
      </w:r>
      <w:r w:rsidR="00087A3B">
        <w:rPr>
          <w:lang w:val="es-ES"/>
        </w:rPr>
        <w:t xml:space="preserve"> estar atento para brindar el apoyo que se requiera.</w:t>
      </w:r>
      <w:r w:rsidR="003C4398">
        <w:rPr>
          <w:lang w:val="es-ES"/>
        </w:rPr>
        <w:t xml:space="preserve">  De momento </w:t>
      </w:r>
      <w:r w:rsidR="00E90665">
        <w:rPr>
          <w:lang w:val="es-ES"/>
        </w:rPr>
        <w:t xml:space="preserve">se cuenta con </w:t>
      </w:r>
      <w:r w:rsidR="00294F21">
        <w:rPr>
          <w:lang w:val="es-ES"/>
        </w:rPr>
        <w:t>insumos y espacios rehabilitados</w:t>
      </w:r>
      <w:r w:rsidR="003E1CF9">
        <w:rPr>
          <w:lang w:val="es-ES"/>
        </w:rPr>
        <w:t>,</w:t>
      </w:r>
      <w:r w:rsidR="00294F21">
        <w:rPr>
          <w:lang w:val="es-ES"/>
        </w:rPr>
        <w:t xml:space="preserve"> y </w:t>
      </w:r>
      <w:r w:rsidR="003C4398">
        <w:rPr>
          <w:lang w:val="es-ES"/>
        </w:rPr>
        <w:t>no se solicitan más insumos para la respuesta.</w:t>
      </w:r>
    </w:p>
    <w:p w14:paraId="7A4DE3FB" w14:textId="77777777" w:rsidR="0090208A" w:rsidRPr="0090208A" w:rsidRDefault="0090208A" w:rsidP="0090208A">
      <w:pPr>
        <w:pStyle w:val="ListParagraph"/>
        <w:spacing w:after="0"/>
        <w:jc w:val="both"/>
        <w:rPr>
          <w:lang w:val="es-ES"/>
        </w:rPr>
      </w:pPr>
    </w:p>
    <w:p w14:paraId="5418434B" w14:textId="77777777" w:rsidR="00B60B2F" w:rsidRDefault="0090208A" w:rsidP="00753CF8">
      <w:pPr>
        <w:pStyle w:val="ListParagraph"/>
        <w:numPr>
          <w:ilvl w:val="0"/>
          <w:numId w:val="5"/>
        </w:numPr>
        <w:spacing w:after="0"/>
        <w:jc w:val="both"/>
        <w:rPr>
          <w:lang w:val="es-ES"/>
        </w:rPr>
      </w:pPr>
      <w:r w:rsidRPr="00D77A89">
        <w:rPr>
          <w:b/>
          <w:bCs/>
          <w:lang w:val="es-ES"/>
        </w:rPr>
        <w:t xml:space="preserve">Zulia: </w:t>
      </w:r>
      <w:r w:rsidR="004B2131" w:rsidRPr="0023181D">
        <w:rPr>
          <w:lang w:val="es-ES"/>
        </w:rPr>
        <w:t xml:space="preserve">Se </w:t>
      </w:r>
      <w:r w:rsidR="00922796">
        <w:rPr>
          <w:lang w:val="es-ES"/>
        </w:rPr>
        <w:t>prioriza la</w:t>
      </w:r>
      <w:r w:rsidR="00607B9D" w:rsidRPr="0023181D">
        <w:rPr>
          <w:lang w:val="es-ES"/>
        </w:rPr>
        <w:t xml:space="preserve"> </w:t>
      </w:r>
      <w:r w:rsidR="004B2131" w:rsidRPr="0023181D">
        <w:rPr>
          <w:lang w:val="es-ES"/>
        </w:rPr>
        <w:t>rehabilitación de espacios de atención temporal y centros de servicios para las comunidades en puntos estratégicos de movilidad</w:t>
      </w:r>
      <w:r w:rsidR="00922796">
        <w:rPr>
          <w:lang w:val="es-ES"/>
        </w:rPr>
        <w:t xml:space="preserve"> hacia Colombia</w:t>
      </w:r>
      <w:r w:rsidR="001602AE" w:rsidRPr="0023181D">
        <w:rPr>
          <w:lang w:val="es-ES"/>
        </w:rPr>
        <w:t>, así como rehabilitación de centros comuni</w:t>
      </w:r>
      <w:r w:rsidR="00407F1A">
        <w:rPr>
          <w:lang w:val="es-ES"/>
        </w:rPr>
        <w:t>t</w:t>
      </w:r>
      <w:r w:rsidR="001602AE" w:rsidRPr="0023181D">
        <w:rPr>
          <w:lang w:val="es-ES"/>
        </w:rPr>
        <w:t>a</w:t>
      </w:r>
      <w:r w:rsidR="0023181D" w:rsidRPr="0023181D">
        <w:rPr>
          <w:lang w:val="es-ES"/>
        </w:rPr>
        <w:t>r</w:t>
      </w:r>
      <w:r w:rsidR="001602AE" w:rsidRPr="0023181D">
        <w:rPr>
          <w:lang w:val="es-ES"/>
        </w:rPr>
        <w:t>ios indígenas y construcción de centros comunitarios en Zulia y Falcón</w:t>
      </w:r>
      <w:r w:rsidR="00753CF8" w:rsidRPr="0023181D">
        <w:rPr>
          <w:lang w:val="es-ES"/>
        </w:rPr>
        <w:t xml:space="preserve">.  Sobre </w:t>
      </w:r>
      <w:r w:rsidR="00753CF8" w:rsidRPr="0023181D">
        <w:rPr>
          <w:lang w:val="es-ES"/>
        </w:rPr>
        <w:lastRenderedPageBreak/>
        <w:t>acciones relacionadas con energía</w:t>
      </w:r>
      <w:r w:rsidR="00607B9D" w:rsidRPr="0023181D">
        <w:rPr>
          <w:lang w:val="es-ES"/>
        </w:rPr>
        <w:t>,</w:t>
      </w:r>
      <w:r w:rsidR="00753CF8" w:rsidRPr="0023181D">
        <w:rPr>
          <w:lang w:val="es-ES"/>
        </w:rPr>
        <w:t xml:space="preserve"> se </w:t>
      </w:r>
      <w:r w:rsidR="00D402E1">
        <w:rPr>
          <w:lang w:val="es-ES"/>
        </w:rPr>
        <w:t xml:space="preserve">prioriza la instalación de </w:t>
      </w:r>
      <w:r w:rsidR="00753CF8" w:rsidRPr="0023181D">
        <w:rPr>
          <w:lang w:val="es-ES"/>
        </w:rPr>
        <w:t>postes solares</w:t>
      </w:r>
      <w:r w:rsidR="002E40D6" w:rsidRPr="0023181D">
        <w:rPr>
          <w:lang w:val="es-ES"/>
        </w:rPr>
        <w:t xml:space="preserve"> </w:t>
      </w:r>
      <w:r w:rsidR="00093C94">
        <w:rPr>
          <w:lang w:val="es-ES"/>
        </w:rPr>
        <w:t xml:space="preserve">en Falcón y Zulia </w:t>
      </w:r>
      <w:r w:rsidR="00460A4D">
        <w:rPr>
          <w:lang w:val="es-ES"/>
        </w:rPr>
        <w:t>en áreas de convivencia comunitaria y centros de salud</w:t>
      </w:r>
      <w:r w:rsidR="00D45DCD">
        <w:rPr>
          <w:lang w:val="es-ES"/>
        </w:rPr>
        <w:t xml:space="preserve">.  </w:t>
      </w:r>
      <w:r w:rsidR="00093C94">
        <w:rPr>
          <w:lang w:val="es-ES"/>
        </w:rPr>
        <w:t xml:space="preserve">Se ha completado la entrega de kits institucionales de higiene en </w:t>
      </w:r>
      <w:r w:rsidR="00B60B2F">
        <w:rPr>
          <w:lang w:val="es-ES"/>
        </w:rPr>
        <w:t>Centros de Salud y se realizaron dotaciones en centros comunitarios indígenas.</w:t>
      </w:r>
    </w:p>
    <w:p w14:paraId="025F85E4" w14:textId="77777777" w:rsidR="002E40D6" w:rsidRPr="002E40D6" w:rsidRDefault="002E40D6" w:rsidP="002E40D6">
      <w:pPr>
        <w:pStyle w:val="ListParagraph"/>
        <w:rPr>
          <w:lang w:val="es-ES"/>
        </w:rPr>
      </w:pPr>
    </w:p>
    <w:p w14:paraId="09A9A308" w14:textId="407E36A8" w:rsidR="006033C2" w:rsidRPr="00F7459F" w:rsidRDefault="002E40D6" w:rsidP="00EF1402">
      <w:pPr>
        <w:pStyle w:val="ListParagraph"/>
        <w:numPr>
          <w:ilvl w:val="0"/>
          <w:numId w:val="5"/>
        </w:numPr>
        <w:spacing w:after="0"/>
        <w:jc w:val="both"/>
        <w:rPr>
          <w:lang w:val="es-ES"/>
        </w:rPr>
      </w:pPr>
      <w:r w:rsidRPr="00F7459F">
        <w:rPr>
          <w:b/>
          <w:bCs/>
          <w:lang w:val="es-ES"/>
        </w:rPr>
        <w:t>Táchira</w:t>
      </w:r>
      <w:r w:rsidR="00370CD9" w:rsidRPr="00F7459F">
        <w:rPr>
          <w:b/>
          <w:bCs/>
          <w:lang w:val="es-ES"/>
        </w:rPr>
        <w:t>:</w:t>
      </w:r>
      <w:r w:rsidR="00370CD9" w:rsidRPr="00F7459F">
        <w:rPr>
          <w:lang w:val="es-ES"/>
        </w:rPr>
        <w:t xml:space="preserve"> </w:t>
      </w:r>
      <w:r w:rsidR="00DC5DDE" w:rsidRPr="00F7459F">
        <w:rPr>
          <w:lang w:val="es-ES"/>
        </w:rPr>
        <w:t xml:space="preserve">Se </w:t>
      </w:r>
      <w:r w:rsidR="00FA5A76" w:rsidRPr="00F7459F">
        <w:rPr>
          <w:lang w:val="es-ES"/>
        </w:rPr>
        <w:t>informa</w:t>
      </w:r>
      <w:r w:rsidR="00DC5DDE" w:rsidRPr="00F7459F">
        <w:rPr>
          <w:lang w:val="es-ES"/>
        </w:rPr>
        <w:t xml:space="preserve"> la incorporación de Médicos Sin Fronteras como nuevo </w:t>
      </w:r>
      <w:r w:rsidR="00D5259E" w:rsidRPr="00F7459F">
        <w:rPr>
          <w:lang w:val="es-ES"/>
        </w:rPr>
        <w:t>s</w:t>
      </w:r>
      <w:r w:rsidR="00DC5DDE" w:rsidRPr="00F7459F">
        <w:rPr>
          <w:lang w:val="es-ES"/>
        </w:rPr>
        <w:t>ocio local</w:t>
      </w:r>
      <w:r w:rsidR="00D5259E" w:rsidRPr="00F7459F">
        <w:rPr>
          <w:lang w:val="es-ES"/>
        </w:rPr>
        <w:t xml:space="preserve">. </w:t>
      </w:r>
      <w:r w:rsidR="000654C9" w:rsidRPr="00F7459F">
        <w:rPr>
          <w:lang w:val="es-ES"/>
        </w:rPr>
        <w:t>Las acciones priorizadas van principalmente dirigidas a Centros de Salu</w:t>
      </w:r>
      <w:r w:rsidR="005419B7" w:rsidRPr="00F7459F">
        <w:rPr>
          <w:lang w:val="es-ES"/>
        </w:rPr>
        <w:t>d</w:t>
      </w:r>
      <w:r w:rsidR="000654C9" w:rsidRPr="00F7459F">
        <w:rPr>
          <w:lang w:val="es-ES"/>
        </w:rPr>
        <w:t>.</w:t>
      </w:r>
      <w:r w:rsidR="00163CF3" w:rsidRPr="00F7459F">
        <w:rPr>
          <w:lang w:val="es-ES"/>
        </w:rPr>
        <w:t xml:space="preserve"> </w:t>
      </w:r>
      <w:r w:rsidR="007A180D" w:rsidRPr="00F7459F">
        <w:rPr>
          <w:lang w:val="es-ES"/>
        </w:rPr>
        <w:t>Se señala que e</w:t>
      </w:r>
      <w:r w:rsidR="00163CF3" w:rsidRPr="00F7459F">
        <w:rPr>
          <w:lang w:val="es-ES"/>
        </w:rPr>
        <w:t xml:space="preserve">xisten continuas solicitudes de apoyo de </w:t>
      </w:r>
      <w:r w:rsidR="00C9595E" w:rsidRPr="00F7459F">
        <w:rPr>
          <w:lang w:val="es-ES"/>
        </w:rPr>
        <w:t>las autoridades a los socios</w:t>
      </w:r>
      <w:r w:rsidR="00163CF3" w:rsidRPr="00F7459F">
        <w:rPr>
          <w:lang w:val="es-ES"/>
        </w:rPr>
        <w:t xml:space="preserve"> locales</w:t>
      </w:r>
      <w:r w:rsidR="007A180D" w:rsidRPr="00F7459F">
        <w:rPr>
          <w:lang w:val="es-ES"/>
        </w:rPr>
        <w:t>, y l</w:t>
      </w:r>
      <w:r w:rsidR="00163CF3" w:rsidRPr="00F7459F">
        <w:rPr>
          <w:lang w:val="es-ES"/>
        </w:rPr>
        <w:t xml:space="preserve">a intención </w:t>
      </w:r>
      <w:r w:rsidR="00DE3073" w:rsidRPr="00F7459F">
        <w:rPr>
          <w:lang w:val="es-ES"/>
        </w:rPr>
        <w:t>es analizar estas solicitudes</w:t>
      </w:r>
      <w:r w:rsidR="00A13900" w:rsidRPr="00F7459F">
        <w:rPr>
          <w:lang w:val="es-ES"/>
        </w:rPr>
        <w:t xml:space="preserve"> en el clúster</w:t>
      </w:r>
      <w:r w:rsidR="0075222B">
        <w:rPr>
          <w:lang w:val="es-ES"/>
        </w:rPr>
        <w:t xml:space="preserve"> subnacional</w:t>
      </w:r>
      <w:r w:rsidR="00A13900" w:rsidRPr="00F7459F">
        <w:rPr>
          <w:lang w:val="es-ES"/>
        </w:rPr>
        <w:t xml:space="preserve"> como espacio de coordinación</w:t>
      </w:r>
      <w:r w:rsidR="008F762D" w:rsidRPr="00F7459F">
        <w:rPr>
          <w:lang w:val="es-ES"/>
        </w:rPr>
        <w:t>.</w:t>
      </w:r>
      <w:r w:rsidR="007A180D" w:rsidRPr="00F7459F">
        <w:rPr>
          <w:lang w:val="es-ES"/>
        </w:rPr>
        <w:t xml:space="preserve"> </w:t>
      </w:r>
      <w:r w:rsidR="007846BE" w:rsidRPr="00F7459F">
        <w:rPr>
          <w:lang w:val="es-ES"/>
        </w:rPr>
        <w:t>Como parte de las actividades priorizadas se encuentra</w:t>
      </w:r>
      <w:r w:rsidR="00992DC4" w:rsidRPr="00F7459F">
        <w:rPr>
          <w:lang w:val="es-ES"/>
        </w:rPr>
        <w:t>n</w:t>
      </w:r>
      <w:r w:rsidR="007846BE" w:rsidRPr="00F7459F">
        <w:rPr>
          <w:lang w:val="es-ES"/>
        </w:rPr>
        <w:t xml:space="preserve"> la instalación de </w:t>
      </w:r>
      <w:r w:rsidR="00992DC4" w:rsidRPr="00F7459F">
        <w:rPr>
          <w:lang w:val="es-ES"/>
        </w:rPr>
        <w:t>paneles</w:t>
      </w:r>
      <w:r w:rsidR="007846BE" w:rsidRPr="00F7459F">
        <w:rPr>
          <w:lang w:val="es-ES"/>
        </w:rPr>
        <w:t xml:space="preserve"> solares </w:t>
      </w:r>
      <w:r w:rsidR="00992DC4" w:rsidRPr="00F7459F">
        <w:rPr>
          <w:lang w:val="es-ES"/>
        </w:rPr>
        <w:t>así como la rehabilitación de Centros de Salud</w:t>
      </w:r>
      <w:r w:rsidR="006D4BD6" w:rsidRPr="006D4BD6">
        <w:rPr>
          <w:lang w:val="es-ES"/>
        </w:rPr>
        <w:t xml:space="preserve"> </w:t>
      </w:r>
      <w:r w:rsidR="006D4BD6">
        <w:rPr>
          <w:lang w:val="es-ES"/>
        </w:rPr>
        <w:t xml:space="preserve">en el </w:t>
      </w:r>
      <w:r w:rsidR="006D4BD6" w:rsidRPr="00F7459F">
        <w:rPr>
          <w:lang w:val="es-ES"/>
        </w:rPr>
        <w:t>Estado Táchira,</w:t>
      </w:r>
      <w:r w:rsidR="004A57B0" w:rsidRPr="00F7459F">
        <w:rPr>
          <w:lang w:val="es-ES"/>
        </w:rPr>
        <w:t xml:space="preserve"> </w:t>
      </w:r>
      <w:r w:rsidR="00EC6BC1">
        <w:rPr>
          <w:lang w:val="es-ES"/>
        </w:rPr>
        <w:t>s</w:t>
      </w:r>
      <w:r w:rsidR="008F762D" w:rsidRPr="00F7459F">
        <w:rPr>
          <w:lang w:val="es-ES"/>
        </w:rPr>
        <w:t>e reportan a</w:t>
      </w:r>
      <w:r w:rsidR="004A57B0" w:rsidRPr="00F7459F">
        <w:rPr>
          <w:lang w:val="es-ES"/>
        </w:rPr>
        <w:t>vances en la instalación de</w:t>
      </w:r>
      <w:r w:rsidR="008F762D" w:rsidRPr="00F7459F">
        <w:rPr>
          <w:lang w:val="es-ES"/>
        </w:rPr>
        <w:t xml:space="preserve"> </w:t>
      </w:r>
      <w:proofErr w:type="spellStart"/>
      <w:r w:rsidR="008F762D" w:rsidRPr="00F7459F">
        <w:rPr>
          <w:lang w:val="es-ES"/>
        </w:rPr>
        <w:t>RHUs</w:t>
      </w:r>
      <w:proofErr w:type="spellEnd"/>
      <w:r w:rsidR="008F762D" w:rsidRPr="00F7459F">
        <w:rPr>
          <w:lang w:val="es-ES"/>
        </w:rPr>
        <w:t xml:space="preserve"> en Táchira y Méri</w:t>
      </w:r>
      <w:r w:rsidR="004A57B0" w:rsidRPr="00F7459F">
        <w:rPr>
          <w:lang w:val="es-ES"/>
        </w:rPr>
        <w:t>d</w:t>
      </w:r>
      <w:r w:rsidR="008F762D" w:rsidRPr="00F7459F">
        <w:rPr>
          <w:lang w:val="es-ES"/>
        </w:rPr>
        <w:t>a</w:t>
      </w:r>
      <w:r w:rsidR="00F7459F" w:rsidRPr="00F7459F">
        <w:rPr>
          <w:lang w:val="es-ES"/>
        </w:rPr>
        <w:t>,</w:t>
      </w:r>
      <w:r w:rsidR="008F762D" w:rsidRPr="00F7459F">
        <w:rPr>
          <w:lang w:val="es-ES"/>
        </w:rPr>
        <w:t xml:space="preserve"> así como acciones de iluminación </w:t>
      </w:r>
      <w:r w:rsidR="00F7459F" w:rsidRPr="00F7459F">
        <w:rPr>
          <w:lang w:val="es-ES"/>
        </w:rPr>
        <w:t xml:space="preserve">interna y externa </w:t>
      </w:r>
      <w:r w:rsidR="008F762D" w:rsidRPr="00F7459F">
        <w:rPr>
          <w:lang w:val="es-ES"/>
        </w:rPr>
        <w:t xml:space="preserve">en puntos </w:t>
      </w:r>
      <w:r w:rsidR="00F7459F" w:rsidRPr="00F7459F">
        <w:rPr>
          <w:lang w:val="es-ES"/>
        </w:rPr>
        <w:t xml:space="preserve">de atención en zonas de </w:t>
      </w:r>
      <w:r w:rsidR="008F762D" w:rsidRPr="00F7459F">
        <w:rPr>
          <w:lang w:val="es-ES"/>
        </w:rPr>
        <w:t>mo</w:t>
      </w:r>
      <w:r w:rsidR="006033C2" w:rsidRPr="00F7459F">
        <w:rPr>
          <w:lang w:val="es-ES"/>
        </w:rPr>
        <w:t>vilidad.</w:t>
      </w:r>
      <w:r w:rsidR="00F7459F" w:rsidRPr="00F7459F">
        <w:rPr>
          <w:lang w:val="es-ES"/>
        </w:rPr>
        <w:t xml:space="preserve"> </w:t>
      </w:r>
      <w:r w:rsidR="006033C2" w:rsidRPr="00F7459F">
        <w:rPr>
          <w:lang w:val="es-ES"/>
        </w:rPr>
        <w:t xml:space="preserve">Se informa que se solicitó eliminar el punto de movilidad en Capacho, por </w:t>
      </w:r>
      <w:r w:rsidR="00F7459F">
        <w:rPr>
          <w:lang w:val="es-ES"/>
        </w:rPr>
        <w:t>ser considerada</w:t>
      </w:r>
      <w:r w:rsidR="00AA25C1">
        <w:rPr>
          <w:lang w:val="es-ES"/>
        </w:rPr>
        <w:t xml:space="preserve"> una</w:t>
      </w:r>
      <w:r w:rsidR="006033C2" w:rsidRPr="00F7459F">
        <w:rPr>
          <w:lang w:val="es-ES"/>
        </w:rPr>
        <w:t xml:space="preserve"> zona residencial en la contingencia de COVID-19.</w:t>
      </w:r>
    </w:p>
    <w:p w14:paraId="021B5778" w14:textId="77777777" w:rsidR="008F762D" w:rsidRPr="008F762D" w:rsidRDefault="008F762D" w:rsidP="008F762D">
      <w:pPr>
        <w:pStyle w:val="ListParagraph"/>
        <w:rPr>
          <w:lang w:val="es-ES"/>
        </w:rPr>
      </w:pPr>
    </w:p>
    <w:p w14:paraId="76037EF0" w14:textId="470CA8B9" w:rsidR="0025712C" w:rsidRPr="004259CF" w:rsidRDefault="008154A5" w:rsidP="00EF1402">
      <w:pPr>
        <w:pStyle w:val="ListParagraph"/>
        <w:numPr>
          <w:ilvl w:val="0"/>
          <w:numId w:val="5"/>
        </w:numPr>
        <w:spacing w:after="0"/>
        <w:jc w:val="both"/>
        <w:rPr>
          <w:lang w:val="es-ES"/>
        </w:rPr>
      </w:pPr>
      <w:r w:rsidRPr="004259CF">
        <w:rPr>
          <w:b/>
          <w:bCs/>
          <w:lang w:val="es-ES"/>
        </w:rPr>
        <w:t>Bolívar:</w:t>
      </w:r>
      <w:r w:rsidRPr="004259CF">
        <w:rPr>
          <w:lang w:val="es-ES"/>
        </w:rPr>
        <w:t xml:space="preserve">  Se</w:t>
      </w:r>
      <w:r w:rsidR="00C44926">
        <w:rPr>
          <w:lang w:val="es-ES"/>
        </w:rPr>
        <w:t xml:space="preserve"> </w:t>
      </w:r>
      <w:r w:rsidRPr="004259CF">
        <w:rPr>
          <w:lang w:val="es-ES"/>
        </w:rPr>
        <w:t>reportan 451 personas retornadas en la frontera con Brasil.</w:t>
      </w:r>
      <w:r w:rsidR="00C44926">
        <w:rPr>
          <w:lang w:val="es-ES"/>
        </w:rPr>
        <w:t xml:space="preserve">  </w:t>
      </w:r>
      <w:r w:rsidRPr="004259CF">
        <w:rPr>
          <w:lang w:val="es-ES"/>
        </w:rPr>
        <w:t>Se indica sensibilidad de los retornos por el ingreso de casos de COVID-19</w:t>
      </w:r>
      <w:r w:rsidR="000B41E7" w:rsidRPr="004259CF">
        <w:rPr>
          <w:lang w:val="es-ES"/>
        </w:rPr>
        <w:t xml:space="preserve"> (nueva </w:t>
      </w:r>
      <w:r w:rsidR="00C44926">
        <w:rPr>
          <w:lang w:val="es-ES"/>
        </w:rPr>
        <w:t>variante P1</w:t>
      </w:r>
      <w:r w:rsidR="000B41E7" w:rsidRPr="004259CF">
        <w:rPr>
          <w:lang w:val="es-ES"/>
        </w:rPr>
        <w:t>). Se reportan restricciones de movilidad y horarios restringidos para actividades</w:t>
      </w:r>
      <w:r w:rsidR="00793303" w:rsidRPr="004259CF">
        <w:rPr>
          <w:lang w:val="es-ES"/>
        </w:rPr>
        <w:t xml:space="preserve"> asociados con la </w:t>
      </w:r>
      <w:r w:rsidR="00071B8C">
        <w:rPr>
          <w:lang w:val="es-ES"/>
        </w:rPr>
        <w:t>p</w:t>
      </w:r>
      <w:r w:rsidR="00071B8C" w:rsidRPr="004259CF">
        <w:rPr>
          <w:lang w:val="es-ES"/>
        </w:rPr>
        <w:t>andemia</w:t>
      </w:r>
      <w:r w:rsidR="00BC5B77">
        <w:rPr>
          <w:lang w:val="es-ES"/>
        </w:rPr>
        <w:t>, especialmente</w:t>
      </w:r>
      <w:r w:rsidR="00C44926">
        <w:rPr>
          <w:lang w:val="es-ES"/>
        </w:rPr>
        <w:t xml:space="preserve"> en el Municipio Gran Sabana</w:t>
      </w:r>
      <w:r w:rsidR="00793303" w:rsidRPr="004259CF">
        <w:rPr>
          <w:lang w:val="es-ES"/>
        </w:rPr>
        <w:t xml:space="preserve">.  Para </w:t>
      </w:r>
      <w:r w:rsidR="000B576F">
        <w:rPr>
          <w:lang w:val="es-ES"/>
        </w:rPr>
        <w:t xml:space="preserve">finales del </w:t>
      </w:r>
      <w:r w:rsidR="00DF6210">
        <w:rPr>
          <w:lang w:val="es-ES"/>
        </w:rPr>
        <w:t>mes de febrero</w:t>
      </w:r>
      <w:r w:rsidR="00793303" w:rsidRPr="004259CF">
        <w:rPr>
          <w:lang w:val="es-ES"/>
        </w:rPr>
        <w:t xml:space="preserve"> sólo se enc</w:t>
      </w:r>
      <w:r w:rsidR="000B576F">
        <w:rPr>
          <w:lang w:val="es-ES"/>
        </w:rPr>
        <w:t>ontraba</w:t>
      </w:r>
      <w:r w:rsidR="00793303" w:rsidRPr="004259CF">
        <w:rPr>
          <w:lang w:val="es-ES"/>
        </w:rPr>
        <w:t xml:space="preserve"> activo un PASI de tránsito</w:t>
      </w:r>
      <w:r w:rsidR="00DF6210">
        <w:rPr>
          <w:lang w:val="es-ES"/>
        </w:rPr>
        <w:t xml:space="preserve"> en el Municipio Gran </w:t>
      </w:r>
      <w:r w:rsidR="000B576F">
        <w:rPr>
          <w:lang w:val="es-ES"/>
        </w:rPr>
        <w:t>S</w:t>
      </w:r>
      <w:r w:rsidR="00DF6210">
        <w:rPr>
          <w:lang w:val="es-ES"/>
        </w:rPr>
        <w:t>abana</w:t>
      </w:r>
      <w:r w:rsidR="00793303" w:rsidRPr="004259CF">
        <w:rPr>
          <w:lang w:val="es-ES"/>
        </w:rPr>
        <w:t>.</w:t>
      </w:r>
      <w:r w:rsidR="0095260C" w:rsidRPr="004259CF">
        <w:rPr>
          <w:lang w:val="es-ES"/>
        </w:rPr>
        <w:t xml:space="preserve"> Se reportan ac</w:t>
      </w:r>
      <w:r w:rsidR="00017D65">
        <w:rPr>
          <w:lang w:val="es-ES"/>
        </w:rPr>
        <w:t>tividades orientadas a la</w:t>
      </w:r>
      <w:r w:rsidR="0095260C" w:rsidRPr="004259CF">
        <w:rPr>
          <w:lang w:val="es-ES"/>
        </w:rPr>
        <w:t xml:space="preserve"> ampliación de alojamientos temporales,</w:t>
      </w:r>
      <w:r w:rsidR="004259CF" w:rsidRPr="004259CF">
        <w:rPr>
          <w:lang w:val="es-ES"/>
        </w:rPr>
        <w:t xml:space="preserve"> </w:t>
      </w:r>
      <w:r w:rsidR="00017D65">
        <w:rPr>
          <w:lang w:val="es-ES"/>
        </w:rPr>
        <w:t xml:space="preserve">así como </w:t>
      </w:r>
      <w:r w:rsidR="006D4BD6">
        <w:rPr>
          <w:lang w:val="es-ES"/>
        </w:rPr>
        <w:t>e</w:t>
      </w:r>
      <w:r w:rsidR="00017D65">
        <w:rPr>
          <w:lang w:val="es-ES"/>
        </w:rPr>
        <w:t>l apoyo de instituciones que prestan servicio para la colectividad</w:t>
      </w:r>
      <w:r w:rsidR="00AE559B">
        <w:rPr>
          <w:lang w:val="es-ES"/>
        </w:rPr>
        <w:t xml:space="preserve">, como </w:t>
      </w:r>
      <w:r w:rsidR="004259CF" w:rsidRPr="004259CF">
        <w:rPr>
          <w:lang w:val="es-ES"/>
        </w:rPr>
        <w:t>instalación de unidades de alojamiento para consultas médicas y mejoras de infraestructura.</w:t>
      </w:r>
      <w:r w:rsidR="00104CD1">
        <w:rPr>
          <w:lang w:val="es-ES"/>
        </w:rPr>
        <w:t xml:space="preserve">  </w:t>
      </w:r>
    </w:p>
    <w:p w14:paraId="1FB7CCF0" w14:textId="693DD7AB" w:rsidR="00D77A89" w:rsidRDefault="00D77A89" w:rsidP="00370CD9">
      <w:pPr>
        <w:spacing w:after="0"/>
        <w:jc w:val="both"/>
        <w:rPr>
          <w:lang w:val="es-ES"/>
        </w:rPr>
      </w:pPr>
    </w:p>
    <w:p w14:paraId="33C4246B" w14:textId="77777777" w:rsidR="00D77A89" w:rsidRPr="00D77A89" w:rsidRDefault="00D77A89" w:rsidP="00D77A89">
      <w:pPr>
        <w:pStyle w:val="ListParagraph"/>
        <w:numPr>
          <w:ilvl w:val="0"/>
          <w:numId w:val="1"/>
        </w:numPr>
        <w:spacing w:after="0"/>
        <w:rPr>
          <w:b/>
          <w:bCs/>
          <w:lang w:val="es-ES"/>
        </w:rPr>
      </w:pPr>
      <w:r w:rsidRPr="00D77A89">
        <w:rPr>
          <w:b/>
          <w:bCs/>
          <w:lang w:val="es-ES"/>
        </w:rPr>
        <w:t>Actualización organizaciones</w:t>
      </w:r>
    </w:p>
    <w:p w14:paraId="51E68D08" w14:textId="4F30D84F" w:rsidR="00370CD9" w:rsidRDefault="00370CD9" w:rsidP="00D77A89">
      <w:pPr>
        <w:spacing w:after="0"/>
        <w:jc w:val="both"/>
        <w:rPr>
          <w:lang w:val="es-ES"/>
        </w:rPr>
      </w:pPr>
    </w:p>
    <w:p w14:paraId="1FE725EB" w14:textId="4BB195F3" w:rsidR="00D77A89" w:rsidRDefault="00071B8C" w:rsidP="00D77A89">
      <w:pPr>
        <w:spacing w:after="0"/>
        <w:jc w:val="both"/>
        <w:rPr>
          <w:lang w:val="es-ES"/>
        </w:rPr>
      </w:pPr>
      <w:r>
        <w:rPr>
          <w:lang w:val="es-ES"/>
        </w:rPr>
        <w:t>El coordinador de proyectos</w:t>
      </w:r>
      <w:r w:rsidR="007D541F">
        <w:rPr>
          <w:lang w:val="es-ES"/>
        </w:rPr>
        <w:t xml:space="preserve"> de la OIM</w:t>
      </w:r>
      <w:r w:rsidR="00751514">
        <w:rPr>
          <w:lang w:val="es-ES"/>
        </w:rPr>
        <w:t xml:space="preserve"> </w:t>
      </w:r>
      <w:r>
        <w:rPr>
          <w:lang w:val="es-ES"/>
        </w:rPr>
        <w:t xml:space="preserve">informó </w:t>
      </w:r>
      <w:r w:rsidR="00751514">
        <w:rPr>
          <w:lang w:val="es-ES"/>
        </w:rPr>
        <w:t xml:space="preserve">que su </w:t>
      </w:r>
      <w:r>
        <w:rPr>
          <w:lang w:val="es-ES"/>
        </w:rPr>
        <w:t xml:space="preserve">espacio de alojamiento temporal </w:t>
      </w:r>
      <w:r w:rsidR="00751514">
        <w:rPr>
          <w:lang w:val="es-ES"/>
        </w:rPr>
        <w:t>en La Victoria fue cerrado ayer por la Guardia Nacional</w:t>
      </w:r>
      <w:r>
        <w:rPr>
          <w:lang w:val="es-ES"/>
        </w:rPr>
        <w:t xml:space="preserve"> dado el </w:t>
      </w:r>
      <w:r w:rsidR="006D4BD6">
        <w:rPr>
          <w:lang w:val="es-ES"/>
        </w:rPr>
        <w:t xml:space="preserve">aumento </w:t>
      </w:r>
      <w:r>
        <w:rPr>
          <w:lang w:val="es-ES"/>
        </w:rPr>
        <w:t>en el número de enfrentamientos</w:t>
      </w:r>
      <w:r w:rsidR="00751514">
        <w:rPr>
          <w:lang w:val="es-ES"/>
        </w:rPr>
        <w:t>.</w:t>
      </w:r>
      <w:r>
        <w:rPr>
          <w:lang w:val="es-ES"/>
        </w:rPr>
        <w:t xml:space="preserve"> Durante la semana, este espacio recibió, aproximadamente, 30 personas.</w:t>
      </w:r>
    </w:p>
    <w:p w14:paraId="0B9E86EA" w14:textId="5BAA7B53" w:rsidR="00D77A89" w:rsidRDefault="00D77A89" w:rsidP="00D77A89">
      <w:pPr>
        <w:spacing w:after="0"/>
        <w:jc w:val="both"/>
        <w:rPr>
          <w:lang w:val="es-ES"/>
        </w:rPr>
      </w:pPr>
    </w:p>
    <w:p w14:paraId="364A0176" w14:textId="724F4D5B" w:rsidR="00D77A89" w:rsidRPr="00D77A89" w:rsidRDefault="00D77A89" w:rsidP="00D77A89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lang w:val="es-ES"/>
        </w:rPr>
      </w:pPr>
      <w:r w:rsidRPr="00D77A89">
        <w:rPr>
          <w:b/>
          <w:bCs/>
          <w:lang w:val="es-ES"/>
        </w:rPr>
        <w:t>AOB</w:t>
      </w:r>
    </w:p>
    <w:p w14:paraId="67579A3C" w14:textId="1AD22F88" w:rsidR="00D77A89" w:rsidRDefault="00D77A89" w:rsidP="00D77A89">
      <w:pPr>
        <w:spacing w:after="0"/>
        <w:jc w:val="both"/>
        <w:rPr>
          <w:lang w:val="es-ES"/>
        </w:rPr>
      </w:pPr>
    </w:p>
    <w:p w14:paraId="59F6A1DC" w14:textId="16C0D608" w:rsidR="0053322B" w:rsidRPr="0075222B" w:rsidRDefault="0053322B" w:rsidP="00472000">
      <w:pPr>
        <w:pStyle w:val="ListParagraph"/>
        <w:numPr>
          <w:ilvl w:val="0"/>
          <w:numId w:val="13"/>
        </w:numPr>
        <w:spacing w:after="0"/>
        <w:ind w:left="360"/>
        <w:jc w:val="both"/>
        <w:rPr>
          <w:lang w:val="es-VE"/>
        </w:rPr>
      </w:pPr>
      <w:r w:rsidRPr="00746FBD">
        <w:rPr>
          <w:lang w:val="es-VE"/>
        </w:rPr>
        <w:t>Se in</w:t>
      </w:r>
      <w:r w:rsidR="002934DD" w:rsidRPr="00746FBD">
        <w:rPr>
          <w:lang w:val="es-VE"/>
        </w:rPr>
        <w:t xml:space="preserve">vita a participar en </w:t>
      </w:r>
      <w:r w:rsidR="002934DD" w:rsidRPr="0075222B">
        <w:rPr>
          <w:lang w:val="es-VE"/>
        </w:rPr>
        <w:t>los talleres</w:t>
      </w:r>
      <w:r w:rsidRPr="0075222B">
        <w:rPr>
          <w:lang w:val="es-VE"/>
        </w:rPr>
        <w:t xml:space="preserve"> </w:t>
      </w:r>
      <w:r w:rsidR="00B13288" w:rsidRPr="0075222B">
        <w:rPr>
          <w:lang w:val="es-VE"/>
        </w:rPr>
        <w:t xml:space="preserve">virtuales de Energía y Seguridad Alimentaria </w:t>
      </w:r>
      <w:r w:rsidRPr="0075222B">
        <w:rPr>
          <w:lang w:val="es-VE"/>
        </w:rPr>
        <w:t xml:space="preserve">organizados en colaboración con el Clúster de Seguridad Alimentaria </w:t>
      </w:r>
      <w:r w:rsidR="00470856" w:rsidRPr="0075222B">
        <w:rPr>
          <w:lang w:val="es-VE"/>
        </w:rPr>
        <w:t xml:space="preserve">que </w:t>
      </w:r>
      <w:r w:rsidRPr="0075222B">
        <w:rPr>
          <w:lang w:val="es-VE"/>
        </w:rPr>
        <w:t>se realizarán de manera virtual el martes 30 y miércoles 31 de marzo.</w:t>
      </w:r>
    </w:p>
    <w:p w14:paraId="7EDF9F5C" w14:textId="77777777" w:rsidR="004C77C5" w:rsidRPr="00FF6944" w:rsidRDefault="004C77C5" w:rsidP="004C77C5">
      <w:pPr>
        <w:pStyle w:val="ListParagraph"/>
        <w:spacing w:after="0"/>
        <w:ind w:left="360"/>
        <w:jc w:val="both"/>
        <w:rPr>
          <w:lang w:val="es-VE"/>
        </w:rPr>
      </w:pPr>
    </w:p>
    <w:p w14:paraId="2EDBC9A7" w14:textId="419E1094" w:rsidR="004C77C5" w:rsidRDefault="004C77C5" w:rsidP="00472000">
      <w:pPr>
        <w:pStyle w:val="ListParagraph"/>
        <w:numPr>
          <w:ilvl w:val="0"/>
          <w:numId w:val="13"/>
        </w:numPr>
        <w:spacing w:after="0"/>
        <w:ind w:left="360"/>
        <w:jc w:val="both"/>
        <w:rPr>
          <w:lang w:val="es-VE"/>
        </w:rPr>
      </w:pPr>
      <w:r w:rsidRPr="00FF6944">
        <w:rPr>
          <w:lang w:val="es-VE"/>
        </w:rPr>
        <w:t xml:space="preserve">Hasta el momento se cuenta con 5 organizaciones postuladas para el </w:t>
      </w:r>
      <w:r w:rsidR="00076516" w:rsidRPr="00FF6944">
        <w:rPr>
          <w:lang w:val="es-VE"/>
        </w:rPr>
        <w:t xml:space="preserve">nuevo </w:t>
      </w:r>
      <w:r w:rsidR="00E825C2">
        <w:rPr>
          <w:lang w:val="es-VE"/>
        </w:rPr>
        <w:t>Grupo Consultivo Estratégico.</w:t>
      </w:r>
      <w:r w:rsidR="00A82646" w:rsidRPr="00FF6944">
        <w:rPr>
          <w:lang w:val="es-VE"/>
        </w:rPr>
        <w:t xml:space="preserve"> </w:t>
      </w:r>
      <w:r w:rsidR="004618C7">
        <w:rPr>
          <w:lang w:val="es-VE"/>
        </w:rPr>
        <w:t xml:space="preserve"> </w:t>
      </w:r>
      <w:r w:rsidR="00A82646" w:rsidRPr="00FF6944">
        <w:rPr>
          <w:lang w:val="es-VE"/>
        </w:rPr>
        <w:t xml:space="preserve">Se extiende el plazo de postulaciones </w:t>
      </w:r>
      <w:r w:rsidR="00DD33B0">
        <w:rPr>
          <w:lang w:val="es-VE"/>
        </w:rPr>
        <w:t>hasta</w:t>
      </w:r>
      <w:r w:rsidR="009F6033">
        <w:rPr>
          <w:lang w:val="es-VE"/>
        </w:rPr>
        <w:t xml:space="preserve"> el viernes 26 de marzo</w:t>
      </w:r>
      <w:r w:rsidR="00DD33B0">
        <w:rPr>
          <w:lang w:val="es-VE"/>
        </w:rPr>
        <w:t xml:space="preserve"> </w:t>
      </w:r>
      <w:r w:rsidR="00443241">
        <w:rPr>
          <w:lang w:val="es-VE"/>
        </w:rPr>
        <w:t>para realizar el proceso de votación la próxima semana.</w:t>
      </w:r>
    </w:p>
    <w:p w14:paraId="3E0035A9" w14:textId="2917682B" w:rsidR="00112FBC" w:rsidRDefault="00112FBC" w:rsidP="00472000">
      <w:pPr>
        <w:spacing w:after="0"/>
        <w:jc w:val="both"/>
        <w:rPr>
          <w:lang w:val="es-VE"/>
        </w:rPr>
      </w:pPr>
    </w:p>
    <w:p w14:paraId="6C06E0B9" w14:textId="0CF4D03E" w:rsidR="00A50150" w:rsidRPr="00746FBD" w:rsidRDefault="00A50150" w:rsidP="00472000">
      <w:pPr>
        <w:pStyle w:val="ListParagraph"/>
        <w:numPr>
          <w:ilvl w:val="0"/>
          <w:numId w:val="13"/>
        </w:numPr>
        <w:spacing w:after="0"/>
        <w:ind w:left="360"/>
        <w:jc w:val="both"/>
        <w:rPr>
          <w:lang w:val="es-VE"/>
        </w:rPr>
      </w:pPr>
      <w:r w:rsidRPr="00746FBD">
        <w:rPr>
          <w:lang w:val="es-VE"/>
        </w:rPr>
        <w:t>Se presentan</w:t>
      </w:r>
      <w:r w:rsidR="00B13288">
        <w:rPr>
          <w:lang w:val="es-VE"/>
        </w:rPr>
        <w:t xml:space="preserve"> las siguientes</w:t>
      </w:r>
      <w:r w:rsidRPr="00746FBD">
        <w:rPr>
          <w:lang w:val="es-VE"/>
        </w:rPr>
        <w:t xml:space="preserve"> </w:t>
      </w:r>
      <w:r w:rsidRPr="00B13288">
        <w:rPr>
          <w:b/>
          <w:bCs/>
          <w:lang w:val="es-VE"/>
        </w:rPr>
        <w:t>solicitudes de apoyo</w:t>
      </w:r>
      <w:r w:rsidR="00726402" w:rsidRPr="00746FBD">
        <w:rPr>
          <w:lang w:val="es-VE"/>
        </w:rPr>
        <w:t xml:space="preserve">.  En caso </w:t>
      </w:r>
      <w:r w:rsidR="00D649E4" w:rsidRPr="00746FBD">
        <w:rPr>
          <w:lang w:val="es-VE"/>
        </w:rPr>
        <w:t>de estar interesados en brindar el apoyo por favor ponerse en contacto con el Clúster.</w:t>
      </w:r>
    </w:p>
    <w:p w14:paraId="2D684C3D" w14:textId="77777777" w:rsidR="00D649E4" w:rsidRDefault="00D649E4" w:rsidP="00114089">
      <w:pPr>
        <w:spacing w:after="0"/>
        <w:jc w:val="both"/>
        <w:rPr>
          <w:b/>
          <w:bCs/>
          <w:lang w:val="es-VE"/>
        </w:rPr>
      </w:pPr>
    </w:p>
    <w:p w14:paraId="0203EFF3" w14:textId="35C8E01A" w:rsidR="00112FBC" w:rsidRPr="00472000" w:rsidRDefault="00D61AED" w:rsidP="00472000">
      <w:pPr>
        <w:pStyle w:val="ListParagraph"/>
        <w:numPr>
          <w:ilvl w:val="0"/>
          <w:numId w:val="11"/>
        </w:numPr>
        <w:spacing w:after="0"/>
        <w:jc w:val="both"/>
        <w:rPr>
          <w:lang w:val="es-ES"/>
        </w:rPr>
      </w:pPr>
      <w:r w:rsidRPr="00472000">
        <w:rPr>
          <w:lang w:val="es-ES"/>
        </w:rPr>
        <w:lastRenderedPageBreak/>
        <w:t>Dirección General de Protección y Defensa de la Mujer del Ministerio Público</w:t>
      </w:r>
      <w:r w:rsidR="00710070" w:rsidRPr="00472000">
        <w:rPr>
          <w:lang w:val="es-ES"/>
        </w:rPr>
        <w:t>: mejora y rehabilitación de espacios existentes en Distrito Capital para una sede del Servicio de Abordaje a las Víctimas de Violencia de Género</w:t>
      </w:r>
      <w:r w:rsidR="00726402" w:rsidRPr="00472000">
        <w:rPr>
          <w:lang w:val="es-ES"/>
        </w:rPr>
        <w:t>.</w:t>
      </w:r>
    </w:p>
    <w:p w14:paraId="3BB70182" w14:textId="77777777" w:rsidR="00DF6210" w:rsidRPr="00071B8C" w:rsidRDefault="00DF6210" w:rsidP="00071B8C">
      <w:pPr>
        <w:spacing w:after="0"/>
        <w:ind w:left="360"/>
        <w:jc w:val="both"/>
        <w:rPr>
          <w:lang w:val="es-VE"/>
        </w:rPr>
      </w:pPr>
    </w:p>
    <w:p w14:paraId="7FA26A4D" w14:textId="77777777" w:rsidR="00DF6210" w:rsidRDefault="00DF6210" w:rsidP="00223F73">
      <w:pPr>
        <w:pStyle w:val="ListParagraph"/>
        <w:spacing w:after="0"/>
        <w:jc w:val="both"/>
        <w:rPr>
          <w:lang w:val="es-VE"/>
        </w:rPr>
      </w:pPr>
    </w:p>
    <w:p w14:paraId="7D710B8C" w14:textId="64F289F9" w:rsidR="00D93FC1" w:rsidRPr="00D93FC1" w:rsidRDefault="00D93FC1" w:rsidP="00D93FC1">
      <w:pPr>
        <w:pStyle w:val="ListParagraph"/>
        <w:numPr>
          <w:ilvl w:val="0"/>
          <w:numId w:val="11"/>
        </w:numPr>
        <w:spacing w:after="0"/>
        <w:jc w:val="both"/>
        <w:rPr>
          <w:lang w:val="es-VE"/>
        </w:rPr>
      </w:pPr>
      <w:r>
        <w:rPr>
          <w:lang w:val="es-ES"/>
        </w:rPr>
        <w:t>Apoyo para Establecimientos Sanitarios</w:t>
      </w:r>
      <w:r w:rsidR="00726402">
        <w:rPr>
          <w:lang w:val="es-ES"/>
        </w:rPr>
        <w:t xml:space="preserve"> según lo especificado en la tabla</w:t>
      </w:r>
      <w:r w:rsidR="00071B8C">
        <w:rPr>
          <w:lang w:val="es-ES"/>
        </w:rPr>
        <w:t>:</w:t>
      </w:r>
    </w:p>
    <w:p w14:paraId="3FEB7410" w14:textId="6AAE0BDD" w:rsidR="00D93FC1" w:rsidRDefault="00D93FC1" w:rsidP="00D93FC1">
      <w:pPr>
        <w:pStyle w:val="ListParagraph"/>
        <w:spacing w:after="0"/>
        <w:jc w:val="both"/>
        <w:rPr>
          <w:lang w:val="es-ES"/>
        </w:rPr>
      </w:pPr>
    </w:p>
    <w:p w14:paraId="320A01D7" w14:textId="44F565CE" w:rsidR="00726402" w:rsidRDefault="00726402" w:rsidP="00D93FC1">
      <w:pPr>
        <w:pStyle w:val="ListParagraph"/>
        <w:spacing w:after="0"/>
        <w:jc w:val="both"/>
        <w:rPr>
          <w:lang w:val="es-ES"/>
        </w:rPr>
      </w:pPr>
    </w:p>
    <w:p w14:paraId="154F5B5E" w14:textId="1278BF1B" w:rsidR="00726402" w:rsidRPr="00D93FC1" w:rsidRDefault="00726402" w:rsidP="00D93FC1">
      <w:pPr>
        <w:pStyle w:val="ListParagraph"/>
        <w:spacing w:after="0"/>
        <w:jc w:val="both"/>
        <w:rPr>
          <w:lang w:val="es-VE"/>
        </w:rPr>
      </w:pPr>
      <w:r>
        <w:rPr>
          <w:noProof/>
          <w:lang w:val="es-VE"/>
        </w:rPr>
        <w:drawing>
          <wp:inline distT="0" distB="0" distL="0" distR="0" wp14:anchorId="294E0DAC" wp14:editId="3038A13E">
            <wp:extent cx="4871953" cy="347218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04" cy="347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F3716" w14:textId="179BD0FE" w:rsidR="0053322B" w:rsidRDefault="0053322B" w:rsidP="00114089">
      <w:pPr>
        <w:spacing w:after="0"/>
        <w:jc w:val="both"/>
        <w:rPr>
          <w:lang w:val="es-VE"/>
        </w:rPr>
      </w:pPr>
    </w:p>
    <w:p w14:paraId="4FAD6C66" w14:textId="77777777" w:rsidR="0053322B" w:rsidRPr="0053322B" w:rsidRDefault="0053322B" w:rsidP="00114089">
      <w:pPr>
        <w:spacing w:after="0"/>
        <w:jc w:val="both"/>
        <w:rPr>
          <w:lang w:val="es-VE"/>
        </w:rPr>
      </w:pPr>
    </w:p>
    <w:sectPr w:rsidR="0053322B" w:rsidRPr="0053322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E1671" w14:textId="77777777" w:rsidR="001C0260" w:rsidRDefault="001C0260" w:rsidP="00EC4745">
      <w:pPr>
        <w:spacing w:after="0" w:line="240" w:lineRule="auto"/>
      </w:pPr>
      <w:r>
        <w:separator/>
      </w:r>
    </w:p>
  </w:endnote>
  <w:endnote w:type="continuationSeparator" w:id="0">
    <w:p w14:paraId="70CDA85B" w14:textId="77777777" w:rsidR="001C0260" w:rsidRDefault="001C0260" w:rsidP="00EC4745">
      <w:pPr>
        <w:spacing w:after="0" w:line="240" w:lineRule="auto"/>
      </w:pPr>
      <w:r>
        <w:continuationSeparator/>
      </w:r>
    </w:p>
  </w:endnote>
  <w:endnote w:type="continuationNotice" w:id="1">
    <w:p w14:paraId="27710FE9" w14:textId="77777777" w:rsidR="001C0260" w:rsidRDefault="001C0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B8B0F" w14:textId="77777777" w:rsidR="00DD1552" w:rsidRDefault="00DD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5613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8C364" w14:textId="05792DC6" w:rsidR="006448DC" w:rsidRPr="00874741" w:rsidRDefault="006448DC">
        <w:pPr>
          <w:pStyle w:val="Footer"/>
          <w:jc w:val="right"/>
          <w:rPr>
            <w:lang w:val="es-ES"/>
          </w:rPr>
        </w:pPr>
        <w:r>
          <w:fldChar w:fldCharType="begin"/>
        </w:r>
        <w:r w:rsidRPr="00D81F91">
          <w:rPr>
            <w:lang w:val="es-ES"/>
          </w:rPr>
          <w:instrText xml:space="preserve"> PAGE   \* MERGEFORMAT </w:instrText>
        </w:r>
        <w:r>
          <w:fldChar w:fldCharType="separate"/>
        </w:r>
        <w:r w:rsidRPr="00874741">
          <w:rPr>
            <w:lang w:val="es-ES"/>
          </w:rPr>
          <w:t>2</w:t>
        </w:r>
        <w:r>
          <w:rPr>
            <w:noProof/>
          </w:rPr>
          <w:fldChar w:fldCharType="end"/>
        </w:r>
      </w:p>
    </w:sdtContent>
  </w:sdt>
  <w:p w14:paraId="7D497A5B" w14:textId="425E0031" w:rsidR="006448DC" w:rsidRPr="00874741" w:rsidRDefault="00760D18" w:rsidP="00874741">
    <w:pPr>
      <w:pStyle w:val="Footer"/>
      <w:jc w:val="center"/>
      <w:rPr>
        <w:color w:val="FF0000"/>
        <w:lang w:val="es-ES"/>
      </w:rPr>
    </w:pPr>
    <w:r w:rsidRPr="00874741">
      <w:rPr>
        <w:color w:val="FF0000"/>
        <w:lang w:val="es-ES"/>
      </w:rPr>
      <w:t>Esta minuta es un borrador p</w:t>
    </w:r>
    <w:r>
      <w:rPr>
        <w:color w:val="FF0000"/>
        <w:lang w:val="es-ES"/>
      </w:rPr>
      <w:t>ara comentarios y no debe ser considerad</w:t>
    </w:r>
    <w:r w:rsidR="00D81F91">
      <w:rPr>
        <w:color w:val="FF0000"/>
        <w:lang w:val="es-ES"/>
      </w:rPr>
      <w:t>a</w:t>
    </w:r>
    <w:r>
      <w:rPr>
        <w:color w:val="FF0000"/>
        <w:lang w:val="es-ES"/>
      </w:rPr>
      <w:t xml:space="preserve"> como un documento 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8068E" w14:textId="77777777" w:rsidR="00DD1552" w:rsidRDefault="00DD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1ECE9" w14:textId="77777777" w:rsidR="001C0260" w:rsidRDefault="001C0260" w:rsidP="00EC4745">
      <w:pPr>
        <w:spacing w:after="0" w:line="240" w:lineRule="auto"/>
      </w:pPr>
      <w:r>
        <w:separator/>
      </w:r>
    </w:p>
  </w:footnote>
  <w:footnote w:type="continuationSeparator" w:id="0">
    <w:p w14:paraId="005FB742" w14:textId="77777777" w:rsidR="001C0260" w:rsidRDefault="001C0260" w:rsidP="00EC4745">
      <w:pPr>
        <w:spacing w:after="0" w:line="240" w:lineRule="auto"/>
      </w:pPr>
      <w:r>
        <w:continuationSeparator/>
      </w:r>
    </w:p>
  </w:footnote>
  <w:footnote w:type="continuationNotice" w:id="1">
    <w:p w14:paraId="4D2F4498" w14:textId="77777777" w:rsidR="001C0260" w:rsidRDefault="001C02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69D93" w14:textId="7F0B92FC" w:rsidR="00DD1552" w:rsidRDefault="00DD1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C77CC" w14:textId="7A12BF82" w:rsidR="00EC4745" w:rsidRDefault="00EC47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9BFFB" wp14:editId="166EC368">
          <wp:simplePos x="0" y="0"/>
          <wp:positionH relativeFrom="column">
            <wp:posOffset>-47625</wp:posOffset>
          </wp:positionH>
          <wp:positionV relativeFrom="paragraph">
            <wp:posOffset>-209550</wp:posOffset>
          </wp:positionV>
          <wp:extent cx="2295525" cy="5141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51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D9CD2" w14:textId="04BDC3C2" w:rsidR="00DD1552" w:rsidRDefault="00DD1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B6A5E"/>
    <w:multiLevelType w:val="hybridMultilevel"/>
    <w:tmpl w:val="A4480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3576"/>
    <w:multiLevelType w:val="hybridMultilevel"/>
    <w:tmpl w:val="688AC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416880"/>
    <w:multiLevelType w:val="hybridMultilevel"/>
    <w:tmpl w:val="62C6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0540"/>
    <w:multiLevelType w:val="hybridMultilevel"/>
    <w:tmpl w:val="11EE2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617E40"/>
    <w:multiLevelType w:val="hybridMultilevel"/>
    <w:tmpl w:val="EC922224"/>
    <w:lvl w:ilvl="0" w:tplc="2958621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621C"/>
    <w:multiLevelType w:val="hybridMultilevel"/>
    <w:tmpl w:val="4F62ED02"/>
    <w:lvl w:ilvl="0" w:tplc="06703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82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AF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E56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C6EE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0AC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CC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403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67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5E96"/>
    <w:multiLevelType w:val="hybridMultilevel"/>
    <w:tmpl w:val="F22E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85CE7"/>
    <w:multiLevelType w:val="hybridMultilevel"/>
    <w:tmpl w:val="A4480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9C"/>
    <w:multiLevelType w:val="hybridMultilevel"/>
    <w:tmpl w:val="9D762270"/>
    <w:lvl w:ilvl="0" w:tplc="637C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CF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8D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C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8D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43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0B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6C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925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00639C"/>
    <w:multiLevelType w:val="hybridMultilevel"/>
    <w:tmpl w:val="273A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F7C"/>
    <w:multiLevelType w:val="hybridMultilevel"/>
    <w:tmpl w:val="450A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51C1"/>
    <w:multiLevelType w:val="hybridMultilevel"/>
    <w:tmpl w:val="91F4A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27C7"/>
    <w:multiLevelType w:val="hybridMultilevel"/>
    <w:tmpl w:val="E8F24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9470F"/>
    <w:multiLevelType w:val="hybridMultilevel"/>
    <w:tmpl w:val="536C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B0CE8"/>
    <w:multiLevelType w:val="hybridMultilevel"/>
    <w:tmpl w:val="9E06DD2E"/>
    <w:lvl w:ilvl="0" w:tplc="C3FAEC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0BF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C2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2F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0E8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E3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E0E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85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9E5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4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6D"/>
    <w:rsid w:val="00002F59"/>
    <w:rsid w:val="00017D65"/>
    <w:rsid w:val="00024764"/>
    <w:rsid w:val="00050C27"/>
    <w:rsid w:val="000654C9"/>
    <w:rsid w:val="00071B8C"/>
    <w:rsid w:val="000728A4"/>
    <w:rsid w:val="00076516"/>
    <w:rsid w:val="000801DB"/>
    <w:rsid w:val="00087A3B"/>
    <w:rsid w:val="00093C94"/>
    <w:rsid w:val="000A16AD"/>
    <w:rsid w:val="000A759A"/>
    <w:rsid w:val="000B37FB"/>
    <w:rsid w:val="000B41E7"/>
    <w:rsid w:val="000B576F"/>
    <w:rsid w:val="000B58F7"/>
    <w:rsid w:val="000B6618"/>
    <w:rsid w:val="000D5A4E"/>
    <w:rsid w:val="000E0790"/>
    <w:rsid w:val="000E481B"/>
    <w:rsid w:val="000E688E"/>
    <w:rsid w:val="000E7E5C"/>
    <w:rsid w:val="00103B6E"/>
    <w:rsid w:val="00104544"/>
    <w:rsid w:val="00104CD1"/>
    <w:rsid w:val="00107910"/>
    <w:rsid w:val="00112FBC"/>
    <w:rsid w:val="00114089"/>
    <w:rsid w:val="001278DE"/>
    <w:rsid w:val="00130555"/>
    <w:rsid w:val="00131D91"/>
    <w:rsid w:val="00132A3A"/>
    <w:rsid w:val="0014289E"/>
    <w:rsid w:val="00151AB8"/>
    <w:rsid w:val="00151C98"/>
    <w:rsid w:val="00156E3A"/>
    <w:rsid w:val="001602AE"/>
    <w:rsid w:val="00163CF3"/>
    <w:rsid w:val="00164BE2"/>
    <w:rsid w:val="00172345"/>
    <w:rsid w:val="00173864"/>
    <w:rsid w:val="00173DC2"/>
    <w:rsid w:val="001B45B1"/>
    <w:rsid w:val="001C0260"/>
    <w:rsid w:val="001C1B03"/>
    <w:rsid w:val="001C5E5C"/>
    <w:rsid w:val="001D3C22"/>
    <w:rsid w:val="001D4B52"/>
    <w:rsid w:val="001E1A42"/>
    <w:rsid w:val="001E40D7"/>
    <w:rsid w:val="001E50ED"/>
    <w:rsid w:val="0020396E"/>
    <w:rsid w:val="00213DB1"/>
    <w:rsid w:val="00223F73"/>
    <w:rsid w:val="0023056D"/>
    <w:rsid w:val="0023181D"/>
    <w:rsid w:val="002322BA"/>
    <w:rsid w:val="00240594"/>
    <w:rsid w:val="00250090"/>
    <w:rsid w:val="0025712C"/>
    <w:rsid w:val="0027497F"/>
    <w:rsid w:val="002750AE"/>
    <w:rsid w:val="002934DD"/>
    <w:rsid w:val="002938C2"/>
    <w:rsid w:val="00294F21"/>
    <w:rsid w:val="002B6C5D"/>
    <w:rsid w:val="002C059E"/>
    <w:rsid w:val="002C5E31"/>
    <w:rsid w:val="002E40D6"/>
    <w:rsid w:val="002E78F9"/>
    <w:rsid w:val="00303A52"/>
    <w:rsid w:val="0030584D"/>
    <w:rsid w:val="00311BEA"/>
    <w:rsid w:val="00316A7B"/>
    <w:rsid w:val="0032663B"/>
    <w:rsid w:val="0033410B"/>
    <w:rsid w:val="00341381"/>
    <w:rsid w:val="003414C4"/>
    <w:rsid w:val="00345D9E"/>
    <w:rsid w:val="003527E6"/>
    <w:rsid w:val="00370CD9"/>
    <w:rsid w:val="00386029"/>
    <w:rsid w:val="00395447"/>
    <w:rsid w:val="003A6732"/>
    <w:rsid w:val="003B7C39"/>
    <w:rsid w:val="003C4398"/>
    <w:rsid w:val="003D75C1"/>
    <w:rsid w:val="003E1CF9"/>
    <w:rsid w:val="00407F1A"/>
    <w:rsid w:val="00411E04"/>
    <w:rsid w:val="00413266"/>
    <w:rsid w:val="004259CF"/>
    <w:rsid w:val="00443241"/>
    <w:rsid w:val="00452BB7"/>
    <w:rsid w:val="00456E89"/>
    <w:rsid w:val="0045755F"/>
    <w:rsid w:val="00460788"/>
    <w:rsid w:val="0046097D"/>
    <w:rsid w:val="00460A4D"/>
    <w:rsid w:val="004618C7"/>
    <w:rsid w:val="00461BFC"/>
    <w:rsid w:val="00463753"/>
    <w:rsid w:val="0046625F"/>
    <w:rsid w:val="00470856"/>
    <w:rsid w:val="00472000"/>
    <w:rsid w:val="004850CE"/>
    <w:rsid w:val="004A57B0"/>
    <w:rsid w:val="004A596F"/>
    <w:rsid w:val="004B2131"/>
    <w:rsid w:val="004B62ED"/>
    <w:rsid w:val="004C77C5"/>
    <w:rsid w:val="004E348B"/>
    <w:rsid w:val="004F04B4"/>
    <w:rsid w:val="00504225"/>
    <w:rsid w:val="00505C69"/>
    <w:rsid w:val="0053322B"/>
    <w:rsid w:val="005419B7"/>
    <w:rsid w:val="00542CB8"/>
    <w:rsid w:val="00547516"/>
    <w:rsid w:val="005A516E"/>
    <w:rsid w:val="005B2049"/>
    <w:rsid w:val="005B76A6"/>
    <w:rsid w:val="005C1419"/>
    <w:rsid w:val="005D2F64"/>
    <w:rsid w:val="005F32FC"/>
    <w:rsid w:val="005F6EEB"/>
    <w:rsid w:val="006033C2"/>
    <w:rsid w:val="00607B9D"/>
    <w:rsid w:val="0063014A"/>
    <w:rsid w:val="00630FA6"/>
    <w:rsid w:val="006312B1"/>
    <w:rsid w:val="00631A56"/>
    <w:rsid w:val="006359B7"/>
    <w:rsid w:val="00643938"/>
    <w:rsid w:val="006448DC"/>
    <w:rsid w:val="006566A6"/>
    <w:rsid w:val="00657F14"/>
    <w:rsid w:val="00662C07"/>
    <w:rsid w:val="00683AAB"/>
    <w:rsid w:val="006870E5"/>
    <w:rsid w:val="0069003C"/>
    <w:rsid w:val="006A126A"/>
    <w:rsid w:val="006D1D94"/>
    <w:rsid w:val="006D4BD6"/>
    <w:rsid w:val="006E27F5"/>
    <w:rsid w:val="006F10B6"/>
    <w:rsid w:val="006F1421"/>
    <w:rsid w:val="00710070"/>
    <w:rsid w:val="0071213C"/>
    <w:rsid w:val="0071594D"/>
    <w:rsid w:val="007257CA"/>
    <w:rsid w:val="00726402"/>
    <w:rsid w:val="00733F0E"/>
    <w:rsid w:val="007409F8"/>
    <w:rsid w:val="00746FBD"/>
    <w:rsid w:val="00751514"/>
    <w:rsid w:val="0075222B"/>
    <w:rsid w:val="00753CF8"/>
    <w:rsid w:val="007568E1"/>
    <w:rsid w:val="00757951"/>
    <w:rsid w:val="00760D18"/>
    <w:rsid w:val="007846BE"/>
    <w:rsid w:val="00793303"/>
    <w:rsid w:val="007A180D"/>
    <w:rsid w:val="007A5D4B"/>
    <w:rsid w:val="007C1A35"/>
    <w:rsid w:val="007C4709"/>
    <w:rsid w:val="007C47C0"/>
    <w:rsid w:val="007D541F"/>
    <w:rsid w:val="007F1394"/>
    <w:rsid w:val="007F6381"/>
    <w:rsid w:val="008154A5"/>
    <w:rsid w:val="0082587E"/>
    <w:rsid w:val="00833998"/>
    <w:rsid w:val="008711CD"/>
    <w:rsid w:val="00874741"/>
    <w:rsid w:val="008873E1"/>
    <w:rsid w:val="00890D70"/>
    <w:rsid w:val="008C6B16"/>
    <w:rsid w:val="008C77D2"/>
    <w:rsid w:val="008D022E"/>
    <w:rsid w:val="008D2A47"/>
    <w:rsid w:val="008D666D"/>
    <w:rsid w:val="008E622F"/>
    <w:rsid w:val="008F1C0C"/>
    <w:rsid w:val="008F762D"/>
    <w:rsid w:val="0090208A"/>
    <w:rsid w:val="00922796"/>
    <w:rsid w:val="00923713"/>
    <w:rsid w:val="00931A0B"/>
    <w:rsid w:val="00932EBD"/>
    <w:rsid w:val="00946119"/>
    <w:rsid w:val="0095260C"/>
    <w:rsid w:val="00952A63"/>
    <w:rsid w:val="0097441A"/>
    <w:rsid w:val="00984061"/>
    <w:rsid w:val="0099250B"/>
    <w:rsid w:val="00992DC4"/>
    <w:rsid w:val="00993963"/>
    <w:rsid w:val="009A2EBF"/>
    <w:rsid w:val="009B3437"/>
    <w:rsid w:val="009C22E2"/>
    <w:rsid w:val="009C35E2"/>
    <w:rsid w:val="009C3ABE"/>
    <w:rsid w:val="009D20D6"/>
    <w:rsid w:val="009E47C4"/>
    <w:rsid w:val="009F04F3"/>
    <w:rsid w:val="009F6033"/>
    <w:rsid w:val="009F7803"/>
    <w:rsid w:val="00A13900"/>
    <w:rsid w:val="00A50150"/>
    <w:rsid w:val="00A6198C"/>
    <w:rsid w:val="00A82646"/>
    <w:rsid w:val="00AA25C1"/>
    <w:rsid w:val="00AA6748"/>
    <w:rsid w:val="00AB1E9B"/>
    <w:rsid w:val="00AC296C"/>
    <w:rsid w:val="00AC316A"/>
    <w:rsid w:val="00AD29E8"/>
    <w:rsid w:val="00AE15FB"/>
    <w:rsid w:val="00AE2088"/>
    <w:rsid w:val="00AE559B"/>
    <w:rsid w:val="00B01BB9"/>
    <w:rsid w:val="00B05F7E"/>
    <w:rsid w:val="00B13288"/>
    <w:rsid w:val="00B15E96"/>
    <w:rsid w:val="00B20171"/>
    <w:rsid w:val="00B34855"/>
    <w:rsid w:val="00B531A6"/>
    <w:rsid w:val="00B532AE"/>
    <w:rsid w:val="00B603A4"/>
    <w:rsid w:val="00B60B2F"/>
    <w:rsid w:val="00B778BF"/>
    <w:rsid w:val="00B927E7"/>
    <w:rsid w:val="00B953FD"/>
    <w:rsid w:val="00BB2E0B"/>
    <w:rsid w:val="00BC5B77"/>
    <w:rsid w:val="00BD2D59"/>
    <w:rsid w:val="00BD7FBA"/>
    <w:rsid w:val="00BE0470"/>
    <w:rsid w:val="00BF49AD"/>
    <w:rsid w:val="00C25FBA"/>
    <w:rsid w:val="00C40853"/>
    <w:rsid w:val="00C44926"/>
    <w:rsid w:val="00C60BA6"/>
    <w:rsid w:val="00C667C3"/>
    <w:rsid w:val="00C72B67"/>
    <w:rsid w:val="00C76521"/>
    <w:rsid w:val="00C83521"/>
    <w:rsid w:val="00C87BFB"/>
    <w:rsid w:val="00C9595E"/>
    <w:rsid w:val="00CA5E18"/>
    <w:rsid w:val="00CB300B"/>
    <w:rsid w:val="00CB66BE"/>
    <w:rsid w:val="00CC39D3"/>
    <w:rsid w:val="00CF6EE2"/>
    <w:rsid w:val="00D335E5"/>
    <w:rsid w:val="00D402E1"/>
    <w:rsid w:val="00D4312E"/>
    <w:rsid w:val="00D45DCD"/>
    <w:rsid w:val="00D5259E"/>
    <w:rsid w:val="00D54DCB"/>
    <w:rsid w:val="00D61AC9"/>
    <w:rsid w:val="00D61AED"/>
    <w:rsid w:val="00D649E4"/>
    <w:rsid w:val="00D662FE"/>
    <w:rsid w:val="00D77A89"/>
    <w:rsid w:val="00D81F91"/>
    <w:rsid w:val="00D93FC1"/>
    <w:rsid w:val="00D97996"/>
    <w:rsid w:val="00DA2606"/>
    <w:rsid w:val="00DA2C97"/>
    <w:rsid w:val="00DA6099"/>
    <w:rsid w:val="00DB01F7"/>
    <w:rsid w:val="00DC5DDE"/>
    <w:rsid w:val="00DD1552"/>
    <w:rsid w:val="00DD239C"/>
    <w:rsid w:val="00DD33B0"/>
    <w:rsid w:val="00DD469C"/>
    <w:rsid w:val="00DD7197"/>
    <w:rsid w:val="00DE3073"/>
    <w:rsid w:val="00DF6210"/>
    <w:rsid w:val="00DF6C6C"/>
    <w:rsid w:val="00E0026C"/>
    <w:rsid w:val="00E176F7"/>
    <w:rsid w:val="00E243C5"/>
    <w:rsid w:val="00E27DBF"/>
    <w:rsid w:val="00E32024"/>
    <w:rsid w:val="00E551CF"/>
    <w:rsid w:val="00E56DE4"/>
    <w:rsid w:val="00E825C2"/>
    <w:rsid w:val="00E840F0"/>
    <w:rsid w:val="00E85B47"/>
    <w:rsid w:val="00E868A8"/>
    <w:rsid w:val="00E90665"/>
    <w:rsid w:val="00EC4745"/>
    <w:rsid w:val="00EC6BC1"/>
    <w:rsid w:val="00EC701C"/>
    <w:rsid w:val="00EF0245"/>
    <w:rsid w:val="00EF1402"/>
    <w:rsid w:val="00EF53E9"/>
    <w:rsid w:val="00EF6E55"/>
    <w:rsid w:val="00F01C6A"/>
    <w:rsid w:val="00F06614"/>
    <w:rsid w:val="00F36705"/>
    <w:rsid w:val="00F54FF3"/>
    <w:rsid w:val="00F55B0B"/>
    <w:rsid w:val="00F65493"/>
    <w:rsid w:val="00F6567D"/>
    <w:rsid w:val="00F678D4"/>
    <w:rsid w:val="00F707CA"/>
    <w:rsid w:val="00F7459F"/>
    <w:rsid w:val="00F74679"/>
    <w:rsid w:val="00F90E03"/>
    <w:rsid w:val="00F918C6"/>
    <w:rsid w:val="00F91993"/>
    <w:rsid w:val="00F920B4"/>
    <w:rsid w:val="00FA0E56"/>
    <w:rsid w:val="00FA1C5A"/>
    <w:rsid w:val="00FA5A76"/>
    <w:rsid w:val="00FA5BE6"/>
    <w:rsid w:val="00FA6160"/>
    <w:rsid w:val="00FB4B12"/>
    <w:rsid w:val="00FC0C1C"/>
    <w:rsid w:val="00FE254E"/>
    <w:rsid w:val="00FF0EED"/>
    <w:rsid w:val="00FF1492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874833"/>
  <w15:chartTrackingRefBased/>
  <w15:docId w15:val="{25453423-2055-48DD-BEE3-0B25AC9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B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745"/>
  </w:style>
  <w:style w:type="paragraph" w:styleId="Footer">
    <w:name w:val="footer"/>
    <w:basedOn w:val="Normal"/>
    <w:link w:val="FooterChar"/>
    <w:uiPriority w:val="99"/>
    <w:unhideWhenUsed/>
    <w:rsid w:val="00EC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745"/>
  </w:style>
  <w:style w:type="character" w:styleId="FollowedHyperlink">
    <w:name w:val="FollowedHyperlink"/>
    <w:basedOn w:val="DefaultParagraphFont"/>
    <w:uiPriority w:val="99"/>
    <w:semiHidden/>
    <w:unhideWhenUsed/>
    <w:rsid w:val="002749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1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B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6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6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9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9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4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4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84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4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3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4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3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5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9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4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5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7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0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8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3257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992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829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242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873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venezuela/documents/cobertura-implementacion-socios-febrero-202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heltercluster.org/venezuela/factsheets/2021-0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ClusterAlojamiento_Venezuela_5W_202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8AB2C3D7FC4490019678331A3B17" ma:contentTypeVersion="12" ma:contentTypeDescription="Create a new document." ma:contentTypeScope="" ma:versionID="8f2328727c46b8093aff956a8d435e88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f98f2d65edf8a72ae58c7e8b7b1a5ea3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F9768-ABA5-483A-9B46-6145CBC55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7AB1E-8AC4-4AA2-AD0E-3CB0D3AB7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96B23-85C2-4E51-8727-03154773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cead8-f642-442a-92a5-bec179212da2"/>
    <ds:schemaRef ds:uri="fc2a8831-669a-44a4-8f11-654741d64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4BB26-6062-4373-8B3E-CB970129E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Alcaraz Pardo</dc:creator>
  <cp:keywords/>
  <dc:description/>
  <cp:lastModifiedBy>Luis Alcaraz Pardo</cp:lastModifiedBy>
  <cp:revision>3</cp:revision>
  <dcterms:created xsi:type="dcterms:W3CDTF">2021-03-26T12:51:00Z</dcterms:created>
  <dcterms:modified xsi:type="dcterms:W3CDTF">2021-03-26T13:12:00Z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