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C3EA3" w14:textId="77777777" w:rsidR="00DD001B" w:rsidRPr="00FD0FD9" w:rsidRDefault="00190DC0" w:rsidP="00FD0FD9">
      <w:pPr>
        <w:pStyle w:val="Normal1"/>
        <w:spacing w:line="240" w:lineRule="auto"/>
        <w:jc w:val="center"/>
        <w:rPr>
          <w:rFonts w:ascii="Calibri Light" w:hAnsi="Calibri Light"/>
          <w:b/>
          <w:w w:val="90"/>
          <w:lang w:val="es-ES_tradnl"/>
        </w:rPr>
      </w:pPr>
      <w:r w:rsidRPr="00FD0FD9">
        <w:rPr>
          <w:rFonts w:ascii="Calibri Light" w:hAnsi="Calibri Light"/>
          <w:b/>
          <w:w w:val="90"/>
          <w:lang w:val="es-ES_tradnl"/>
        </w:rPr>
        <w:t xml:space="preserve">Grupo </w:t>
      </w:r>
      <w:r w:rsidR="00DD001B" w:rsidRPr="00FD0FD9">
        <w:rPr>
          <w:rFonts w:ascii="Calibri Light" w:hAnsi="Calibri Light"/>
          <w:b/>
          <w:w w:val="90"/>
          <w:lang w:val="es-ES_tradnl"/>
        </w:rPr>
        <w:t>“Vivienda, Tierra y Propiedad”</w:t>
      </w:r>
    </w:p>
    <w:p w14:paraId="720BDA50" w14:textId="77777777" w:rsidR="00DD001B" w:rsidRPr="00FD0FD9" w:rsidRDefault="00DD001B" w:rsidP="00FD0FD9">
      <w:pPr>
        <w:pStyle w:val="Normal1"/>
        <w:spacing w:line="240" w:lineRule="auto"/>
        <w:jc w:val="center"/>
        <w:rPr>
          <w:rFonts w:ascii="Calibri Light" w:hAnsi="Calibri Light"/>
          <w:b/>
          <w:w w:val="90"/>
          <w:lang w:val="es-ES_tradnl"/>
        </w:rPr>
      </w:pPr>
      <w:r w:rsidRPr="00FD0FD9">
        <w:rPr>
          <w:rFonts w:ascii="Calibri Light" w:hAnsi="Calibri Light"/>
          <w:b/>
          <w:w w:val="90"/>
          <w:lang w:val="es-ES_tradnl"/>
        </w:rPr>
        <w:t>Sector Protección- Sector Vivienda</w:t>
      </w:r>
    </w:p>
    <w:p w14:paraId="4BC32CDE" w14:textId="77777777" w:rsidR="00DD001B" w:rsidRPr="00FD0FD9" w:rsidRDefault="00DD001B" w:rsidP="00FD0FD9">
      <w:pPr>
        <w:pStyle w:val="Normal1"/>
        <w:spacing w:line="240" w:lineRule="auto"/>
        <w:ind w:left="708"/>
        <w:jc w:val="both"/>
        <w:rPr>
          <w:rFonts w:ascii="Calibri Light" w:hAnsi="Calibri Light"/>
          <w:b/>
          <w:w w:val="90"/>
          <w:lang w:val="es-ES_tradnl"/>
        </w:rPr>
      </w:pPr>
    </w:p>
    <w:p w14:paraId="3AEB80A2" w14:textId="344617E2" w:rsidR="00DD001B" w:rsidRPr="00FD0FD9" w:rsidRDefault="00DD001B" w:rsidP="00FD0FD9">
      <w:pPr>
        <w:pStyle w:val="Normal1"/>
        <w:spacing w:line="240" w:lineRule="auto"/>
        <w:jc w:val="both"/>
        <w:rPr>
          <w:rFonts w:ascii="Calibri Light" w:hAnsi="Calibri Light"/>
          <w:w w:val="90"/>
          <w:lang w:val="es-MX"/>
        </w:rPr>
      </w:pPr>
      <w:r w:rsidRPr="00FD0FD9">
        <w:rPr>
          <w:rFonts w:ascii="Calibri Light" w:hAnsi="Calibri Light"/>
          <w:b/>
          <w:w w:val="90"/>
          <w:lang w:val="es-ES_tradnl"/>
        </w:rPr>
        <w:t>Fecha:</w:t>
      </w:r>
      <w:r w:rsidRPr="00FD0FD9">
        <w:rPr>
          <w:rFonts w:ascii="Calibri Light" w:hAnsi="Calibri Light"/>
          <w:w w:val="90"/>
          <w:lang w:val="es-ES_tradnl"/>
        </w:rPr>
        <w:t xml:space="preserve"> </w:t>
      </w:r>
      <w:r w:rsidR="00020635">
        <w:rPr>
          <w:rFonts w:ascii="Calibri Light" w:hAnsi="Calibri Light"/>
          <w:w w:val="90"/>
          <w:lang w:val="es-ES_tradnl"/>
        </w:rPr>
        <w:t>04</w:t>
      </w:r>
      <w:r w:rsidR="003D60CC" w:rsidRPr="00FD0FD9">
        <w:rPr>
          <w:rFonts w:ascii="Calibri Light" w:hAnsi="Calibri Light"/>
          <w:w w:val="90"/>
          <w:lang w:val="es-ES_tradnl"/>
        </w:rPr>
        <w:t>/08</w:t>
      </w:r>
      <w:r w:rsidRPr="00FD0FD9">
        <w:rPr>
          <w:rFonts w:ascii="Calibri Light" w:hAnsi="Calibri Light"/>
          <w:w w:val="90"/>
          <w:lang w:val="es-ES_tradnl"/>
        </w:rPr>
        <w:t>/2016</w:t>
      </w:r>
    </w:p>
    <w:p w14:paraId="63686A2D" w14:textId="7C95EE1F" w:rsidR="005E6F42" w:rsidRPr="00FD0FD9" w:rsidRDefault="00DD001B" w:rsidP="00FD0FD9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/>
          <w:b/>
          <w:w w:val="90"/>
          <w:sz w:val="22"/>
          <w:szCs w:val="22"/>
          <w:lang w:val="es-ES_tradnl"/>
        </w:rPr>
        <w:t>Asunto:</w:t>
      </w:r>
      <w:r w:rsidRPr="00FD0FD9">
        <w:rPr>
          <w:rFonts w:ascii="Calibri Light" w:hAnsi="Calibri Light"/>
          <w:w w:val="90"/>
          <w:sz w:val="22"/>
          <w:szCs w:val="22"/>
          <w:lang w:val="es-ES_tradnl"/>
        </w:rPr>
        <w:t xml:space="preserve"> </w:t>
      </w:r>
      <w:r w:rsidR="00584DB7">
        <w:rPr>
          <w:rFonts w:ascii="Calibri Light" w:hAnsi="Calibri Light" w:cs="Arial"/>
          <w:w w:val="90"/>
          <w:sz w:val="22"/>
          <w:szCs w:val="22"/>
          <w:lang w:val="es-ES"/>
        </w:rPr>
        <w:t>L</w:t>
      </w:r>
      <w:r w:rsidR="005E6F42" w:rsidRPr="00FD0FD9">
        <w:rPr>
          <w:rFonts w:ascii="Calibri Light" w:hAnsi="Calibri Light" w:cs="Arial"/>
          <w:w w:val="90"/>
          <w:sz w:val="22"/>
          <w:szCs w:val="22"/>
          <w:lang w:val="es-ES"/>
        </w:rPr>
        <w:t>ineamiento</w:t>
      </w:r>
      <w:r w:rsidR="00A141C5">
        <w:rPr>
          <w:rFonts w:ascii="Calibri Light" w:hAnsi="Calibri Light" w:cs="Arial"/>
          <w:w w:val="90"/>
          <w:sz w:val="22"/>
          <w:szCs w:val="22"/>
          <w:lang w:val="es-ES"/>
        </w:rPr>
        <w:t>s</w:t>
      </w:r>
      <w:r w:rsidR="00584DB7">
        <w:rPr>
          <w:rFonts w:ascii="Calibri Light" w:hAnsi="Calibri Light" w:cs="Arial"/>
          <w:w w:val="90"/>
          <w:sz w:val="22"/>
          <w:szCs w:val="22"/>
          <w:lang w:val="es-ES"/>
        </w:rPr>
        <w:t xml:space="preserve"> generales y Protocolos</w:t>
      </w:r>
      <w:r w:rsidR="00A141C5">
        <w:rPr>
          <w:rFonts w:ascii="Calibri Light" w:hAnsi="Calibri Light" w:cs="Arial"/>
          <w:w w:val="90"/>
          <w:sz w:val="22"/>
          <w:szCs w:val="22"/>
          <w:lang w:val="es-ES"/>
        </w:rPr>
        <w:t xml:space="preserve"> para procesos de reubicación.</w:t>
      </w:r>
    </w:p>
    <w:p w14:paraId="1C63A59C" w14:textId="654A032B" w:rsidR="00DD001B" w:rsidRPr="00FD0FD9" w:rsidRDefault="00DD001B" w:rsidP="00FD0FD9">
      <w:pPr>
        <w:pStyle w:val="Normal1"/>
        <w:spacing w:line="240" w:lineRule="auto"/>
        <w:jc w:val="both"/>
        <w:rPr>
          <w:rFonts w:ascii="Calibri Light" w:hAnsi="Calibri Light"/>
          <w:w w:val="90"/>
          <w:lang w:val="es-ES"/>
        </w:rPr>
      </w:pPr>
    </w:p>
    <w:p w14:paraId="4C6C23D9" w14:textId="4F629EB4" w:rsidR="003E3D03" w:rsidRPr="00FD0FD9" w:rsidRDefault="003D60CC" w:rsidP="00FD0FD9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b/>
          <w:w w:val="90"/>
          <w:sz w:val="22"/>
          <w:szCs w:val="22"/>
          <w:lang w:val="es-ES"/>
        </w:rPr>
        <w:t>Objetivo del documento: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El Equipo Humanitario de País, conformado por organismos de la comunidad humanitaria internacional prese</w:t>
      </w:r>
      <w:r w:rsidR="005E6F42" w:rsidRPr="00FD0FD9">
        <w:rPr>
          <w:rFonts w:ascii="Calibri Light" w:hAnsi="Calibri Light" w:cs="Arial"/>
          <w:w w:val="90"/>
          <w:sz w:val="22"/>
          <w:szCs w:val="22"/>
          <w:lang w:val="es-ES"/>
        </w:rPr>
        <w:t>ntes en Ecuador, comparte alguno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s </w:t>
      </w:r>
      <w:r w:rsidR="00190DC0" w:rsidRPr="00FD0FD9">
        <w:rPr>
          <w:rFonts w:ascii="Calibri Light" w:hAnsi="Calibri Light" w:cs="Arial"/>
          <w:w w:val="90"/>
          <w:sz w:val="22"/>
          <w:szCs w:val="22"/>
          <w:lang w:val="es-ES"/>
        </w:rPr>
        <w:t>protocolos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y lineamientos sugeridos para </w:t>
      </w:r>
      <w:r w:rsidR="00190DC0" w:rsidRPr="00FD0FD9">
        <w:rPr>
          <w:rFonts w:ascii="Calibri Light" w:hAnsi="Calibri Light" w:cs="Arial"/>
          <w:w w:val="90"/>
          <w:sz w:val="22"/>
          <w:szCs w:val="22"/>
          <w:lang w:val="es-ES"/>
        </w:rPr>
        <w:t>los procesos de reubicación.</w:t>
      </w:r>
    </w:p>
    <w:p w14:paraId="160163BF" w14:textId="77777777" w:rsidR="009F149C" w:rsidRPr="006B4A87" w:rsidRDefault="009F149C" w:rsidP="006B4A87">
      <w:pPr>
        <w:widowControl w:val="0"/>
        <w:autoSpaceDE w:val="0"/>
        <w:autoSpaceDN w:val="0"/>
        <w:adjustRightInd w:val="0"/>
        <w:rPr>
          <w:rFonts w:ascii="Calibri Light" w:hAnsi="Calibri Light" w:cs="Times New Roman"/>
          <w:sz w:val="22"/>
          <w:szCs w:val="22"/>
          <w:lang w:val="es-EC"/>
        </w:rPr>
      </w:pPr>
    </w:p>
    <w:p w14:paraId="6BA82C99" w14:textId="018D722A" w:rsidR="003D60CC" w:rsidRPr="00FD0FD9" w:rsidRDefault="00584DB7" w:rsidP="00FD0FD9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Arial"/>
          <w:b/>
          <w:w w:val="90"/>
          <w:sz w:val="22"/>
          <w:szCs w:val="22"/>
          <w:lang w:val="es-ES"/>
        </w:rPr>
      </w:pPr>
      <w:r>
        <w:rPr>
          <w:rFonts w:ascii="Calibri Light" w:hAnsi="Calibri Light" w:cs="Arial"/>
          <w:b/>
          <w:w w:val="90"/>
          <w:sz w:val="22"/>
          <w:szCs w:val="22"/>
          <w:lang w:val="es-ES"/>
        </w:rPr>
        <w:t>LINEAMIENTOS</w:t>
      </w:r>
      <w:r w:rsidR="003D60CC" w:rsidRPr="00FD0FD9">
        <w:rPr>
          <w:rFonts w:ascii="Calibri Light" w:hAnsi="Calibri Light" w:cs="Arial"/>
          <w:b/>
          <w:w w:val="90"/>
          <w:sz w:val="22"/>
          <w:szCs w:val="22"/>
          <w:lang w:val="es-ES"/>
        </w:rPr>
        <w:t xml:space="preserve"> GENERALES:</w:t>
      </w:r>
    </w:p>
    <w:p w14:paraId="0198E467" w14:textId="7BB6A397" w:rsidR="00D66F38" w:rsidRPr="00FD0FD9" w:rsidRDefault="00D66F38" w:rsidP="00A141C5">
      <w:pPr>
        <w:pStyle w:val="Prrafodelista"/>
        <w:numPr>
          <w:ilvl w:val="0"/>
          <w:numId w:val="2"/>
        </w:numPr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La reubicación después de un desastre debe ser una solución de último recurso</w:t>
      </w:r>
      <w:r w:rsidR="00725366"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, </w:t>
      </w:r>
      <w:r w:rsidR="002C7138" w:rsidRPr="00FD0FD9">
        <w:rPr>
          <w:rFonts w:ascii="Calibri Light" w:hAnsi="Calibri Light" w:cs="Arial"/>
          <w:w w:val="90"/>
          <w:sz w:val="22"/>
          <w:szCs w:val="22"/>
          <w:lang w:val="es-ES"/>
        </w:rPr>
        <w:t>pues</w:t>
      </w:r>
      <w:r w:rsidR="006B4A87">
        <w:rPr>
          <w:rFonts w:ascii="Calibri Light" w:hAnsi="Calibri Light" w:cs="Arial"/>
          <w:w w:val="90"/>
          <w:sz w:val="22"/>
          <w:szCs w:val="22"/>
          <w:lang w:val="es-ES"/>
        </w:rPr>
        <w:t xml:space="preserve"> podría constituir</w:t>
      </w:r>
      <w:r w:rsidR="002C7138"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una violación de derechos humanos, en los términos prescritos en el Art. 42</w:t>
      </w:r>
      <w:r w:rsidR="00A141C5">
        <w:rPr>
          <w:rFonts w:ascii="Calibri Light" w:hAnsi="Calibri Light" w:cs="Arial"/>
          <w:w w:val="90"/>
          <w:sz w:val="22"/>
          <w:szCs w:val="22"/>
          <w:lang w:val="es-ES"/>
        </w:rPr>
        <w:t xml:space="preserve"> de la Constitución del Ecuador.</w:t>
      </w:r>
      <w:r w:rsidR="00DC2300">
        <w:rPr>
          <w:rStyle w:val="Refdenotaalpie"/>
          <w:rFonts w:ascii="Calibri Light" w:hAnsi="Calibri Light" w:cs="Arial"/>
          <w:w w:val="90"/>
          <w:sz w:val="22"/>
          <w:szCs w:val="22"/>
          <w:lang w:val="es-ES"/>
        </w:rPr>
        <w:footnoteReference w:id="1"/>
      </w:r>
    </w:p>
    <w:p w14:paraId="4C4C1F77" w14:textId="75D7591F" w:rsidR="003E3D03" w:rsidRPr="00FD0FD9" w:rsidRDefault="00085351" w:rsidP="00FD0FD9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La reubicación </w:t>
      </w:r>
      <w:r w:rsidR="00725366"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no consensuada 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de personas desplazadas es legítima solo cuando hay un riesgo serio e inminente: Sólo en los casos en los que la reubicación sea la única vía para proteger la vida y salud de las poblaciones afectadas (por ejemplo, como forma de reducir el riesgo ante desastres naturales</w:t>
      </w:r>
      <w:r w:rsidR="00190DC0"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que no pueden ser mitigados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) podrá ser considerada como legítima.</w:t>
      </w:r>
      <w:r w:rsidR="00AF4B8D"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En estos casos, las normas o leyes nacionales deben definir procedimientos para que se respeten los de</w:t>
      </w:r>
      <w:r w:rsidR="003E3D03" w:rsidRPr="00FD0FD9">
        <w:rPr>
          <w:rFonts w:ascii="Calibri Light" w:hAnsi="Calibri Light" w:cs="Arial"/>
          <w:w w:val="90"/>
          <w:sz w:val="22"/>
          <w:szCs w:val="22"/>
          <w:lang w:val="es-ES"/>
        </w:rPr>
        <w:t>rechos de los que se trasladan.</w:t>
      </w:r>
    </w:p>
    <w:p w14:paraId="5C2DCDFE" w14:textId="2A697FCD" w:rsidR="002C7138" w:rsidRPr="00FD0FD9" w:rsidRDefault="002C7138" w:rsidP="00FD0FD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Se debe implementar un enfoque de derechos en todo tipo de programas de reubicación.</w:t>
      </w:r>
    </w:p>
    <w:p w14:paraId="1F5FE602" w14:textId="77777777" w:rsidR="00AF4B8D" w:rsidRPr="00FD0FD9" w:rsidRDefault="00AF4B8D" w:rsidP="00FD0FD9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Se debe asegurar el pleno goce de derechos de todas las personas afectadas por la reubicación sin discriminación por motivos de raza, religión, sexo, orientación sexual, nacionalidad, estatus legal o social, edad, discapacidad, propiedad de predios, religión, creencias políticas o cualquier otro factor</w:t>
      </w:r>
      <w:r w:rsidR="00190DC0" w:rsidRPr="00FD0FD9">
        <w:rPr>
          <w:rFonts w:ascii="Calibri Light" w:hAnsi="Calibri Light" w:cs="Arial"/>
          <w:w w:val="90"/>
          <w:sz w:val="22"/>
          <w:szCs w:val="22"/>
          <w:lang w:val="es-ES"/>
        </w:rPr>
        <w:t>.</w:t>
      </w:r>
    </w:p>
    <w:p w14:paraId="3D07A308" w14:textId="1F64CBBF" w:rsidR="00224E5E" w:rsidRPr="00FD0FD9" w:rsidRDefault="00E82074" w:rsidP="00FD0FD9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Las personas reubicadas deben contar con todas las garantías del debido proceso, incluyendo el derecho a acceder a un tribunal independiente y una justa compensación en caso de ser necesario</w:t>
      </w:r>
      <w:r w:rsidRPr="00FD0FD9">
        <w:rPr>
          <w:rStyle w:val="Refdenotaalpie"/>
          <w:rFonts w:ascii="Calibri Light" w:hAnsi="Calibri Light" w:cs="Arial"/>
          <w:w w:val="90"/>
          <w:sz w:val="22"/>
          <w:szCs w:val="22"/>
          <w:lang w:val="es-ES"/>
        </w:rPr>
        <w:footnoteReference w:id="2"/>
      </w:r>
      <w:r w:rsidR="00D66F38"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(Art. 323 de la Constitución del Ecuador)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. </w:t>
      </w:r>
    </w:p>
    <w:p w14:paraId="69064E9C" w14:textId="5F67AFCE" w:rsidR="00DD001B" w:rsidRPr="00FD0FD9" w:rsidRDefault="001A7A9A" w:rsidP="00FD0FD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Se recomienda una consulta previa y amplia con la comunidad antes de cualquier traslado o </w:t>
      </w:r>
      <w:r w:rsidR="003E3D03" w:rsidRPr="00FD0FD9">
        <w:rPr>
          <w:rFonts w:ascii="Calibri Light" w:hAnsi="Calibri Light" w:cs="Arial"/>
          <w:w w:val="90"/>
          <w:sz w:val="22"/>
          <w:szCs w:val="22"/>
          <w:lang w:val="es-ES"/>
        </w:rPr>
        <w:t>reubicación. E</w:t>
      </w:r>
      <w:r w:rsidR="00224E5E" w:rsidRPr="00FD0FD9">
        <w:rPr>
          <w:rFonts w:ascii="Calibri Light" w:hAnsi="Calibri Light" w:cs="Arial"/>
          <w:w w:val="90"/>
          <w:sz w:val="22"/>
          <w:szCs w:val="22"/>
          <w:lang w:val="es-ES"/>
        </w:rPr>
        <w:t>s importante que los actores involucrados en estos procesos conozcan el marco jurídico y regulatorio.</w:t>
      </w:r>
      <w:r w:rsidR="00E82074"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Las personas afectadas tienen el derecho a ser informadas </w:t>
      </w:r>
      <w:r w:rsidR="003E3D03" w:rsidRPr="00FD0FD9">
        <w:rPr>
          <w:rFonts w:ascii="Calibri Light" w:hAnsi="Calibri Light" w:cs="Arial"/>
          <w:w w:val="90"/>
          <w:sz w:val="22"/>
          <w:szCs w:val="22"/>
          <w:lang w:val="es-ES"/>
        </w:rPr>
        <w:t>constantemente sobre</w:t>
      </w:r>
      <w:r w:rsidR="00E82074"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todos los detalles necesarios para ejercer su derecho a tomar una decisión libre e informada. Para este propósito, la comunidad afectada debe contar con un plazo razonable para tomar una decisión en el marco de un proceso de consulta genuino</w:t>
      </w:r>
      <w:r w:rsidR="00E82074" w:rsidRPr="00FD0FD9">
        <w:rPr>
          <w:rStyle w:val="Refdenotaalpie"/>
          <w:rFonts w:ascii="Calibri Light" w:hAnsi="Calibri Light" w:cs="Arial"/>
          <w:w w:val="90"/>
          <w:sz w:val="22"/>
          <w:szCs w:val="22"/>
          <w:lang w:val="es-ES"/>
        </w:rPr>
        <w:footnoteReference w:id="3"/>
      </w:r>
      <w:r w:rsidR="00D66F38"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(Art</w:t>
      </w:r>
      <w:r w:rsidR="00A141C5">
        <w:rPr>
          <w:rFonts w:ascii="Calibri Light" w:hAnsi="Calibri Light" w:cs="Arial"/>
          <w:w w:val="90"/>
          <w:sz w:val="22"/>
          <w:szCs w:val="22"/>
          <w:lang w:val="es-ES"/>
        </w:rPr>
        <w:t xml:space="preserve">. 57.7 y Art. </w:t>
      </w:r>
      <w:r w:rsidR="00D66F38" w:rsidRPr="00FD0FD9">
        <w:rPr>
          <w:rFonts w:ascii="Calibri Light" w:hAnsi="Calibri Light" w:cs="Arial"/>
          <w:w w:val="90"/>
          <w:sz w:val="22"/>
          <w:szCs w:val="22"/>
          <w:lang w:val="es-ES"/>
        </w:rPr>
        <w:t>398 de la Constitución del Ecuador)</w:t>
      </w:r>
      <w:r w:rsidR="00E82074" w:rsidRPr="00FD0FD9">
        <w:rPr>
          <w:rFonts w:ascii="Calibri Light" w:hAnsi="Calibri Light" w:cs="Arial"/>
          <w:w w:val="90"/>
          <w:sz w:val="22"/>
          <w:szCs w:val="22"/>
          <w:lang w:val="es-ES"/>
        </w:rPr>
        <w:t>.</w:t>
      </w:r>
      <w:r w:rsidR="00224E5E"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</w:t>
      </w:r>
      <w:r w:rsidR="00224E5E" w:rsidRPr="00FD0FD9">
        <w:rPr>
          <w:rFonts w:ascii="MS Gothic" w:eastAsia="MS Gothic" w:hAnsi="MS Gothic" w:cs="MS Gothic" w:hint="eastAsia"/>
          <w:w w:val="90"/>
          <w:sz w:val="22"/>
          <w:szCs w:val="22"/>
          <w:lang w:val="es-ES"/>
        </w:rPr>
        <w:t> </w:t>
      </w:r>
    </w:p>
    <w:p w14:paraId="3202954F" w14:textId="570D4E8C" w:rsidR="00DD001B" w:rsidRPr="00FD0FD9" w:rsidRDefault="00DD001B" w:rsidP="00FD0FD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El reasentamiento responsable no se restringe a construir refugios. Los programas deben crear un ambiente seguro en el que las comunidades tengan acceso a una vivienda adecuada y a servicios públicos, a la 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lastRenderedPageBreak/>
        <w:t>infraestructura esencial, y a las oportunidades para ganar su subsistencia</w:t>
      </w:r>
      <w:r w:rsidRPr="00FD0FD9">
        <w:rPr>
          <w:rStyle w:val="Refdenotaalpie"/>
          <w:rFonts w:ascii="Calibri Light" w:hAnsi="Calibri Light" w:cs="Arial"/>
          <w:w w:val="90"/>
          <w:sz w:val="22"/>
          <w:szCs w:val="22"/>
          <w:lang w:val="es-ES"/>
        </w:rPr>
        <w:footnoteReference w:id="4"/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. Es preciso adoptar un enfoque holístico. </w:t>
      </w:r>
    </w:p>
    <w:p w14:paraId="2826BAFD" w14:textId="5B02FA69" w:rsidR="00190DC0" w:rsidRDefault="0056753F" w:rsidP="00FD0FD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Como medida de preparación preventiva, los gobiernos pueden identificar</w:t>
      </w:r>
      <w:r w:rsidR="003E3D03"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terrenos que se utilizarán para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alojamiento provisional y de emergencia después de un desastre. Cuando se realice esta planificación territorial se debe contar con el acuerdo de todas las partes afectadas y tener en cuenta el uso normal de la tierra en cuestión, así como las medidas que se tomarán a raíz de una crisis. </w:t>
      </w:r>
      <w:r w:rsidR="002C7138" w:rsidRPr="00FD0FD9">
        <w:rPr>
          <w:rFonts w:ascii="Calibri Light" w:hAnsi="Calibri Light" w:cs="Arial"/>
          <w:w w:val="90"/>
          <w:sz w:val="22"/>
          <w:szCs w:val="22"/>
          <w:lang w:val="es-ES"/>
        </w:rPr>
        <w:t>Además, la zona escogida para el reasentamiento debe estar ubicada en un sitio culturalmente adecuado para la población afectada, y se debe implementar medidas para asegurar el pleno respeto de la interculturalidad y los derechos ancestrales que puedan estar vinculados al grupo humano que va a ser reasentado.</w:t>
      </w:r>
    </w:p>
    <w:p w14:paraId="343A1323" w14:textId="2C11715C" w:rsidR="00584DB7" w:rsidRPr="00FD0FD9" w:rsidRDefault="00584DB7" w:rsidP="00584DB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Se debe constatar que el sitio de reubicación esté localizado en una zona que no sea proclive a desastres naturales; todos los asuntos relativos a la tenencia y propiedad del predio deben estar conforme a derecho (aspecto del cual será responsable las autoridades públicas), debe ser un lugar que cuente con infraestructura y </w:t>
      </w:r>
      <w:r>
        <w:rPr>
          <w:rFonts w:ascii="Calibri Light" w:hAnsi="Calibri Light" w:cs="Arial"/>
          <w:w w:val="90"/>
          <w:sz w:val="22"/>
          <w:szCs w:val="22"/>
          <w:lang w:val="es-ES"/>
        </w:rPr>
        <w:t xml:space="preserve">acceso a 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servicios adecuados</w:t>
      </w:r>
      <w:r>
        <w:rPr>
          <w:rFonts w:ascii="Calibri Light" w:hAnsi="Calibri Light" w:cs="Arial"/>
          <w:w w:val="90"/>
          <w:sz w:val="22"/>
          <w:szCs w:val="22"/>
          <w:lang w:val="es-ES"/>
        </w:rPr>
        <w:t>. El lugar de destino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</w:t>
      </w:r>
      <w:r>
        <w:rPr>
          <w:rFonts w:ascii="Calibri Light" w:hAnsi="Calibri Light" w:cs="Arial"/>
          <w:w w:val="90"/>
          <w:sz w:val="22"/>
          <w:szCs w:val="22"/>
          <w:lang w:val="es-ES"/>
        </w:rPr>
        <w:t>debe estar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cerca del sitio en el que se encuentran los medios de vida de las personas beneficiarias y del lugar del que fueron desalojados.</w:t>
      </w:r>
    </w:p>
    <w:p w14:paraId="32FCFE95" w14:textId="77777777" w:rsidR="00584DB7" w:rsidRPr="00FD0FD9" w:rsidRDefault="00584DB7" w:rsidP="00584DB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Conforme al Manual Esfera, es necesario incluir entre estos estándares las guías esfera de planeación estratégica, planeación de reasentamientos conforme a los criterios esfera que incluya suficientes espacios cubiertos habitables, que los estándares de construcción incluyan prácticas de construcción y materiales seguros de edificación y que además se tome en cuenta el impacto ambiental.</w:t>
      </w:r>
    </w:p>
    <w:p w14:paraId="2EBF5DF1" w14:textId="77777777" w:rsidR="00584DB7" w:rsidRDefault="00584DB7" w:rsidP="00584DB7">
      <w:pPr>
        <w:pStyle w:val="Prrafodelista"/>
        <w:numPr>
          <w:ilvl w:val="0"/>
          <w:numId w:val="2"/>
        </w:numPr>
        <w:jc w:val="both"/>
        <w:rPr>
          <w:rFonts w:ascii="Calibri Light" w:hAnsi="Calibri Light" w:cs="Arial"/>
          <w:w w:val="90"/>
          <w:sz w:val="22"/>
          <w:szCs w:val="22"/>
          <w:lang w:val="es-EC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En el marco de la </w:t>
      </w:r>
      <w:r>
        <w:rPr>
          <w:rFonts w:ascii="Calibri Light" w:hAnsi="Calibri Light" w:cs="Arial"/>
          <w:w w:val="90"/>
          <w:sz w:val="22"/>
          <w:szCs w:val="22"/>
          <w:lang w:val="es-ES"/>
        </w:rPr>
        <w:t>ejecución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de un desplazamiento no consensuado, para que éste sea legítimo, debe ser la única opción para resguardar la vida e integridad de las personas reubicadas, debe observar el principio de legalidad conforme al cual </w:t>
      </w:r>
      <w:r w:rsidRPr="00FD0FD9">
        <w:rPr>
          <w:rFonts w:ascii="Calibri Light" w:hAnsi="Calibri Light" w:cs="Arial"/>
          <w:w w:val="90"/>
          <w:sz w:val="22"/>
          <w:szCs w:val="22"/>
          <w:lang w:val="es-EC"/>
        </w:rPr>
        <w:t xml:space="preserve">todo derecho </w:t>
      </w:r>
      <w:r>
        <w:rPr>
          <w:rFonts w:ascii="Calibri Light" w:hAnsi="Calibri Light" w:cs="Arial"/>
          <w:w w:val="90"/>
          <w:sz w:val="22"/>
          <w:szCs w:val="22"/>
          <w:lang w:val="es-EC"/>
        </w:rPr>
        <w:t>puede ser restringido</w:t>
      </w:r>
      <w:r w:rsidRPr="00FD0FD9">
        <w:rPr>
          <w:rFonts w:ascii="Calibri Light" w:hAnsi="Calibri Light" w:cs="Arial"/>
          <w:w w:val="90"/>
          <w:sz w:val="22"/>
          <w:szCs w:val="22"/>
          <w:lang w:val="es-EC"/>
        </w:rPr>
        <w:t xml:space="preserve"> únicamente por ley (requisito formal) y debe observar los siguientes estándares para que una restricción de derechos sea legítima (requisitos sustantivos): que se trate de una restricción objetiva, que tenga un propósito legítimo, que sea proporcional (en cuanto al tipo de medidas y en virtud del tiemp</w:t>
      </w:r>
      <w:r>
        <w:rPr>
          <w:rFonts w:ascii="Calibri Light" w:hAnsi="Calibri Light" w:cs="Arial"/>
          <w:w w:val="90"/>
          <w:sz w:val="22"/>
          <w:szCs w:val="22"/>
          <w:lang w:val="es-EC"/>
        </w:rPr>
        <w:t>o) y debe además ser razonable.</w:t>
      </w:r>
    </w:p>
    <w:p w14:paraId="30EF5555" w14:textId="7C1FE498" w:rsidR="008B4D8E" w:rsidRPr="00FD0FD9" w:rsidRDefault="008B4D8E" w:rsidP="008B4D8E">
      <w:pPr>
        <w:pStyle w:val="Prrafodelista"/>
        <w:numPr>
          <w:ilvl w:val="0"/>
          <w:numId w:val="2"/>
        </w:numPr>
        <w:jc w:val="both"/>
        <w:rPr>
          <w:rFonts w:ascii="Calibri Light" w:hAnsi="Calibri Light" w:cs="Arial"/>
          <w:w w:val="90"/>
          <w:sz w:val="22"/>
          <w:szCs w:val="22"/>
          <w:lang w:val="es-EC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C"/>
        </w:rPr>
        <w:t>En el evento de que se llevase a cabo la reubicación sin apego a los estándares antes mencionados,</w:t>
      </w:r>
      <w:r>
        <w:rPr>
          <w:rFonts w:ascii="Calibri Light" w:hAnsi="Calibri Light" w:cs="Arial"/>
          <w:w w:val="90"/>
          <w:sz w:val="22"/>
          <w:szCs w:val="22"/>
          <w:lang w:val="es-EC"/>
        </w:rPr>
        <w:t xml:space="preserve"> tal proceso de reasentamiento </w:t>
      </w:r>
      <w:r w:rsidRPr="00FD0FD9">
        <w:rPr>
          <w:rFonts w:ascii="Calibri Light" w:hAnsi="Calibri Light" w:cs="Arial"/>
          <w:w w:val="90"/>
          <w:sz w:val="22"/>
          <w:szCs w:val="22"/>
          <w:lang w:val="es-EC"/>
        </w:rPr>
        <w:t xml:space="preserve">podría </w:t>
      </w:r>
      <w:r>
        <w:rPr>
          <w:rFonts w:ascii="Calibri Light" w:hAnsi="Calibri Light" w:cs="Arial"/>
          <w:w w:val="90"/>
          <w:sz w:val="22"/>
          <w:szCs w:val="22"/>
          <w:lang w:val="es-EC"/>
        </w:rPr>
        <w:t>configurar una grave violación a los derechos humanos</w:t>
      </w:r>
      <w:r w:rsidRPr="00FD0FD9">
        <w:rPr>
          <w:rFonts w:ascii="Calibri Light" w:hAnsi="Calibri Light" w:cs="Arial"/>
          <w:w w:val="90"/>
          <w:sz w:val="22"/>
          <w:szCs w:val="22"/>
          <w:lang w:val="es-EC"/>
        </w:rPr>
        <w:t xml:space="preserve">, </w:t>
      </w:r>
      <w:r>
        <w:rPr>
          <w:rFonts w:ascii="Calibri Light" w:hAnsi="Calibri Light" w:cs="Arial"/>
          <w:w w:val="90"/>
          <w:sz w:val="22"/>
          <w:szCs w:val="22"/>
          <w:lang w:val="es-EC"/>
        </w:rPr>
        <w:t>conforme lo prescribe el Art. 83</w:t>
      </w:r>
      <w:r w:rsidRPr="00FD0FD9">
        <w:rPr>
          <w:rFonts w:ascii="Calibri Light" w:hAnsi="Calibri Light" w:cs="Arial"/>
          <w:w w:val="90"/>
          <w:sz w:val="22"/>
          <w:szCs w:val="22"/>
          <w:lang w:val="es-EC"/>
        </w:rPr>
        <w:t xml:space="preserve"> del Código Orgánico Integral Penal</w:t>
      </w:r>
      <w:r>
        <w:rPr>
          <w:rFonts w:ascii="Calibri Light" w:hAnsi="Calibri Light" w:cs="Arial"/>
          <w:w w:val="90"/>
          <w:sz w:val="22"/>
          <w:szCs w:val="22"/>
          <w:lang w:val="es-EC"/>
        </w:rPr>
        <w:t>.</w:t>
      </w:r>
    </w:p>
    <w:p w14:paraId="3011AB8F" w14:textId="77777777" w:rsidR="008B4D8E" w:rsidRPr="008B4D8E" w:rsidRDefault="008B4D8E" w:rsidP="008B4D8E">
      <w:pPr>
        <w:jc w:val="both"/>
        <w:rPr>
          <w:rFonts w:ascii="Calibri Light" w:hAnsi="Calibri Light" w:cs="Arial"/>
          <w:w w:val="90"/>
          <w:sz w:val="22"/>
          <w:szCs w:val="22"/>
          <w:lang w:val="es-EC"/>
        </w:rPr>
      </w:pPr>
    </w:p>
    <w:p w14:paraId="2A615E9F" w14:textId="796F0362" w:rsidR="00584DB7" w:rsidRPr="00DC2300" w:rsidRDefault="00584DB7" w:rsidP="00DC2300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Arial"/>
          <w:b/>
          <w:w w:val="90"/>
          <w:sz w:val="22"/>
          <w:szCs w:val="22"/>
          <w:lang w:val="es-ES"/>
        </w:rPr>
      </w:pPr>
      <w:bookmarkStart w:id="0" w:name="_GoBack"/>
      <w:bookmarkEnd w:id="0"/>
      <w:r>
        <w:rPr>
          <w:rFonts w:ascii="Calibri Light" w:hAnsi="Calibri Light" w:cs="Arial"/>
          <w:b/>
          <w:w w:val="90"/>
          <w:sz w:val="22"/>
          <w:szCs w:val="22"/>
          <w:lang w:val="es-ES"/>
        </w:rPr>
        <w:t>PROTOCOLOS</w:t>
      </w:r>
      <w:r w:rsidRPr="00584DB7">
        <w:rPr>
          <w:rFonts w:ascii="Calibri Light" w:hAnsi="Calibri Light" w:cs="Arial"/>
          <w:b/>
          <w:w w:val="90"/>
          <w:sz w:val="22"/>
          <w:szCs w:val="22"/>
          <w:lang w:val="es-ES"/>
        </w:rPr>
        <w:t>:</w:t>
      </w:r>
    </w:p>
    <w:p w14:paraId="70E033BB" w14:textId="23532259" w:rsidR="00E31DFD" w:rsidRPr="00FD0FD9" w:rsidRDefault="00E31DFD" w:rsidP="00FD0FD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En el evento de </w:t>
      </w:r>
      <w:r w:rsidR="001A7A9A" w:rsidRPr="00FD0FD9">
        <w:rPr>
          <w:rFonts w:ascii="Calibri Light" w:hAnsi="Calibri Light" w:cs="Arial"/>
          <w:w w:val="90"/>
          <w:sz w:val="22"/>
          <w:szCs w:val="22"/>
          <w:lang w:val="es-ES"/>
        </w:rPr>
        <w:t>que una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reubicación </w:t>
      </w:r>
      <w:r w:rsidR="001A7A9A" w:rsidRPr="00FD0FD9">
        <w:rPr>
          <w:rFonts w:ascii="Calibri Light" w:hAnsi="Calibri Light" w:cs="Arial"/>
          <w:w w:val="90"/>
          <w:sz w:val="22"/>
          <w:szCs w:val="22"/>
          <w:lang w:val="es-ES"/>
        </w:rPr>
        <w:t>sea inevitable,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se debe cumplir </w:t>
      </w:r>
      <w:r w:rsidR="001F444A" w:rsidRPr="00FD0FD9">
        <w:rPr>
          <w:rFonts w:ascii="Calibri Light" w:hAnsi="Calibri Light" w:cs="Arial"/>
          <w:w w:val="90"/>
          <w:sz w:val="22"/>
          <w:szCs w:val="22"/>
          <w:lang w:val="es-ES"/>
        </w:rPr>
        <w:t>inexcusablemente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con las siguientes medidas</w:t>
      </w:r>
      <w:r w:rsidR="007A60F3" w:rsidRPr="00FD0FD9">
        <w:rPr>
          <w:rStyle w:val="Refdenotaalpie"/>
          <w:rFonts w:ascii="Calibri Light" w:hAnsi="Calibri Light" w:cs="Arial"/>
          <w:w w:val="90"/>
          <w:sz w:val="22"/>
          <w:szCs w:val="22"/>
          <w:lang w:val="es-ES"/>
        </w:rPr>
        <w:footnoteReference w:id="5"/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:</w:t>
      </w:r>
    </w:p>
    <w:p w14:paraId="642D7322" w14:textId="77777777" w:rsidR="00E31DFD" w:rsidRPr="00FD0FD9" w:rsidRDefault="00E31DFD" w:rsidP="00FD0FD9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Notificar a las personas afectadas por la reubicación </w:t>
      </w:r>
      <w:r w:rsidR="001A7A9A" w:rsidRPr="00FD0FD9">
        <w:rPr>
          <w:rFonts w:ascii="Calibri Light" w:hAnsi="Calibri Light" w:cs="Arial"/>
          <w:w w:val="90"/>
          <w:sz w:val="22"/>
          <w:szCs w:val="22"/>
          <w:lang w:val="es-ES"/>
        </w:rPr>
        <w:t>dentro de un plazo razonable.</w:t>
      </w:r>
    </w:p>
    <w:p w14:paraId="3EA6D643" w14:textId="77777777" w:rsidR="001A7A9A" w:rsidRPr="00FD0FD9" w:rsidRDefault="001A7A9A" w:rsidP="00FD0FD9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Identificación y registro de los reubicados</w:t>
      </w:r>
      <w:r w:rsidR="006331E9" w:rsidRPr="00FD0FD9">
        <w:rPr>
          <w:rFonts w:ascii="Calibri Light" w:hAnsi="Calibri Light" w:cs="Arial"/>
          <w:w w:val="90"/>
          <w:sz w:val="22"/>
          <w:szCs w:val="22"/>
          <w:lang w:val="es-ES"/>
        </w:rPr>
        <w:t>.</w:t>
      </w:r>
    </w:p>
    <w:p w14:paraId="2176AC4C" w14:textId="77777777" w:rsidR="00E31DFD" w:rsidRPr="00FD0FD9" w:rsidRDefault="00E31DFD" w:rsidP="00FD0FD9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lastRenderedPageBreak/>
        <w:t xml:space="preserve">Procesos adecuados de consulta relativos </w:t>
      </w:r>
      <w:r w:rsidR="00E11036" w:rsidRPr="00FD0FD9">
        <w:rPr>
          <w:rFonts w:ascii="Calibri Light" w:hAnsi="Calibri Light" w:cs="Arial"/>
          <w:w w:val="90"/>
          <w:sz w:val="22"/>
          <w:szCs w:val="22"/>
          <w:lang w:val="es-ES"/>
        </w:rPr>
        <w:t>al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reasentamiento que cuenten con representantes del colectivo que va a ser reasentado.</w:t>
      </w:r>
    </w:p>
    <w:p w14:paraId="60BC9EEC" w14:textId="77777777" w:rsidR="007A60F3" w:rsidRPr="00FD0FD9" w:rsidRDefault="007A60F3" w:rsidP="00FD0FD9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Lugares adecuados para la reubicación, ya sean temporales o permanentes.</w:t>
      </w:r>
    </w:p>
    <w:p w14:paraId="3F29B03B" w14:textId="77777777" w:rsidR="00E82074" w:rsidRPr="00FD0FD9" w:rsidRDefault="001F444A" w:rsidP="00FD0FD9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L</w:t>
      </w:r>
      <w:r w:rsidR="007A60F3" w:rsidRPr="00FD0FD9">
        <w:rPr>
          <w:rFonts w:ascii="Calibri Light" w:hAnsi="Calibri Light" w:cs="Arial"/>
          <w:w w:val="90"/>
          <w:sz w:val="22"/>
          <w:szCs w:val="22"/>
          <w:lang w:val="es-ES"/>
        </w:rPr>
        <w:t>os procesos de reasentamiento forzado no deben dejar a las personas afectadas en situación de vulnerabilidad o violentar sus derechos.</w:t>
      </w:r>
    </w:p>
    <w:p w14:paraId="3D5AA1DF" w14:textId="77777777" w:rsidR="006331E9" w:rsidRPr="00FD0FD9" w:rsidRDefault="006331E9" w:rsidP="00FD0FD9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Facilitar información clara sobre el traslado y los servicios en el destino.</w:t>
      </w:r>
    </w:p>
    <w:p w14:paraId="5900CB11" w14:textId="77777777" w:rsidR="006331E9" w:rsidRPr="00FD0FD9" w:rsidRDefault="006331E9" w:rsidP="00FD0FD9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No llevar a cabo la reubicación en la noche.</w:t>
      </w:r>
    </w:p>
    <w:p w14:paraId="0E7B29F7" w14:textId="77777777" w:rsidR="006331E9" w:rsidRPr="00FD0FD9" w:rsidRDefault="006331E9" w:rsidP="00FD0FD9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Proveer transporte tomando en cuenta las necesidades especiales de las personas.</w:t>
      </w:r>
    </w:p>
    <w:p w14:paraId="26059397" w14:textId="77777777" w:rsidR="00A4009A" w:rsidRPr="00FD0FD9" w:rsidRDefault="006331E9" w:rsidP="00FD0FD9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Invitar la presencia de organismos de cooperación humanitaria internacional, registrar la reubicación.</w:t>
      </w:r>
    </w:p>
    <w:p w14:paraId="3EFBDDCC" w14:textId="77777777" w:rsidR="007A60F3" w:rsidRPr="00FD0FD9" w:rsidRDefault="007A60F3" w:rsidP="00FD0FD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Estándares aplicables a todos los procesos de reubicación:</w:t>
      </w:r>
    </w:p>
    <w:p w14:paraId="5F78C20F" w14:textId="6ACAC7CE" w:rsidR="007A60F3" w:rsidRPr="00FD0FD9" w:rsidRDefault="00584DB7" w:rsidP="00FD0FD9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>
        <w:rPr>
          <w:rFonts w:ascii="Calibri Light" w:hAnsi="Calibri Light" w:cs="Arial"/>
          <w:w w:val="90"/>
          <w:sz w:val="22"/>
          <w:szCs w:val="22"/>
          <w:lang w:val="es-ES"/>
        </w:rPr>
        <w:t>En l</w:t>
      </w:r>
      <w:r w:rsidR="007A60F3"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a elección de lugar </w:t>
      </w:r>
      <w:r>
        <w:rPr>
          <w:rFonts w:ascii="Calibri Light" w:hAnsi="Calibri Light" w:cs="Arial"/>
          <w:w w:val="90"/>
          <w:sz w:val="22"/>
          <w:szCs w:val="22"/>
          <w:lang w:val="es-ES"/>
        </w:rPr>
        <w:t xml:space="preserve">se </w:t>
      </w:r>
      <w:r w:rsidR="007A60F3" w:rsidRPr="00FD0FD9">
        <w:rPr>
          <w:rFonts w:ascii="Calibri Light" w:hAnsi="Calibri Light" w:cs="Arial"/>
          <w:w w:val="90"/>
          <w:sz w:val="22"/>
          <w:szCs w:val="22"/>
          <w:lang w:val="es-ES"/>
        </w:rPr>
        <w:t>debe asegurar que se trata de un lugar adecuado para el reasentamiento.</w:t>
      </w:r>
    </w:p>
    <w:p w14:paraId="36B9A951" w14:textId="17966412" w:rsidR="001F444A" w:rsidRPr="00FD0FD9" w:rsidRDefault="007A60F3" w:rsidP="00FD0FD9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La</w:t>
      </w:r>
      <w:r w:rsidR="001F444A" w:rsidRPr="00FD0FD9">
        <w:rPr>
          <w:rFonts w:ascii="Calibri Light" w:hAnsi="Calibri Light" w:cs="Arial"/>
          <w:w w:val="90"/>
          <w:sz w:val="22"/>
          <w:szCs w:val="22"/>
          <w:lang w:val="es-ES"/>
        </w:rPr>
        <w:t>s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vivienda</w:t>
      </w:r>
      <w:r w:rsidR="001F444A" w:rsidRPr="00FD0FD9">
        <w:rPr>
          <w:rFonts w:ascii="Calibri Light" w:hAnsi="Calibri Light" w:cs="Arial"/>
          <w:w w:val="90"/>
          <w:sz w:val="22"/>
          <w:szCs w:val="22"/>
          <w:lang w:val="es-ES"/>
        </w:rPr>
        <w:t>s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en el sitio de reubicación debe</w:t>
      </w:r>
      <w:r w:rsidR="001F444A" w:rsidRPr="00FD0FD9">
        <w:rPr>
          <w:rFonts w:ascii="Calibri Light" w:hAnsi="Calibri Light" w:cs="Arial"/>
          <w:w w:val="90"/>
          <w:sz w:val="22"/>
          <w:szCs w:val="22"/>
          <w:lang w:val="es-ES"/>
        </w:rPr>
        <w:t>n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ser adecuadas y se debe asegurar que</w:t>
      </w:r>
      <w:r w:rsidR="002C7138"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existan instalaciones de agua y saneamiento 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apropiadas.</w:t>
      </w:r>
    </w:p>
    <w:p w14:paraId="0BA16989" w14:textId="77777777" w:rsidR="003504FE" w:rsidRDefault="003504FE" w:rsidP="00FD0FD9">
      <w:pPr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La reubicación de personas se debe hacer solamente cuando las condiciones y servicios necesarios para acoger a la población están listos en el sitio de destino. </w:t>
      </w:r>
    </w:p>
    <w:p w14:paraId="59F5FEA6" w14:textId="77777777" w:rsidR="00DC2300" w:rsidRPr="00FD0FD9" w:rsidRDefault="00DC2300" w:rsidP="00DC230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</w:p>
    <w:p w14:paraId="256464D7" w14:textId="4C67EC7F" w:rsidR="006B4A87" w:rsidRPr="00FD0FD9" w:rsidRDefault="006B4A87" w:rsidP="006B4A87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Arial"/>
          <w:b/>
          <w:w w:val="90"/>
          <w:sz w:val="22"/>
          <w:szCs w:val="22"/>
          <w:lang w:val="es-ES"/>
        </w:rPr>
      </w:pPr>
      <w:r>
        <w:rPr>
          <w:rFonts w:ascii="Calibri Light" w:hAnsi="Calibri Light" w:cs="Arial"/>
          <w:b/>
          <w:w w:val="90"/>
          <w:sz w:val="22"/>
          <w:szCs w:val="22"/>
          <w:lang w:val="es-ES"/>
        </w:rPr>
        <w:t>Fuentes que informan la elaboración de la Nota Conceptual:</w:t>
      </w:r>
    </w:p>
    <w:p w14:paraId="177D614D" w14:textId="77777777" w:rsidR="006B4A87" w:rsidRPr="00FD0FD9" w:rsidRDefault="006B4A87" w:rsidP="006B4A87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 Light" w:hAnsi="Calibri Light" w:cs="Arial"/>
          <w:b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b/>
          <w:w w:val="90"/>
          <w:sz w:val="22"/>
          <w:szCs w:val="22"/>
          <w:lang w:val="es-ES"/>
        </w:rPr>
        <w:t xml:space="preserve">Normativa: </w:t>
      </w:r>
    </w:p>
    <w:p w14:paraId="400A8E9B" w14:textId="77777777" w:rsidR="006B4A87" w:rsidRPr="00FD0FD9" w:rsidRDefault="006B4A87" w:rsidP="006B4A87">
      <w:pPr>
        <w:pStyle w:val="Prrafodelista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Tratados Internacionales de Derechos Humanos 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sym w:font="Wingdings" w:char="F0E0"/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conforme lo reconoce la Constitución Ecuatoriana, estos tienen prevalencia sobre el texto constitucional en todas aquellas disposiciones que sean más favorables y garantistas para el pleno goce de los derechos humanos.</w:t>
      </w:r>
    </w:p>
    <w:p w14:paraId="1FCE076E" w14:textId="77777777" w:rsidR="008B4D8E" w:rsidRDefault="006B4A87" w:rsidP="008B4D8E">
      <w:pPr>
        <w:pStyle w:val="Prrafodelista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Constitución del Ecuador.</w:t>
      </w:r>
    </w:p>
    <w:p w14:paraId="073ADCCE" w14:textId="13D3C393" w:rsidR="008B4D8E" w:rsidRPr="008B4D8E" w:rsidRDefault="008B4D8E" w:rsidP="008B4D8E">
      <w:pPr>
        <w:pStyle w:val="Prrafodelista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8B4D8E">
        <w:rPr>
          <w:rFonts w:ascii="Calibri Light" w:hAnsi="Calibri Light" w:cs="Arial"/>
          <w:w w:val="90"/>
          <w:sz w:val="22"/>
          <w:szCs w:val="22"/>
          <w:lang w:val="es-EC"/>
        </w:rPr>
        <w:t>Código Orgánico Integral Penal.</w:t>
      </w:r>
    </w:p>
    <w:p w14:paraId="0E04BE8B" w14:textId="77777777" w:rsidR="006B4A87" w:rsidRPr="00FD0FD9" w:rsidRDefault="006B4A87" w:rsidP="006B4A87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 Light" w:hAnsi="Calibri Light" w:cs="Arial"/>
          <w:b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b/>
          <w:w w:val="90"/>
          <w:sz w:val="22"/>
          <w:szCs w:val="22"/>
          <w:lang w:val="es-ES"/>
        </w:rPr>
        <w:t>Doctrina:</w:t>
      </w:r>
    </w:p>
    <w:p w14:paraId="670E9995" w14:textId="77777777" w:rsidR="006B4A87" w:rsidRPr="00FD0FD9" w:rsidRDefault="006B4A87" w:rsidP="006B4A87">
      <w:pPr>
        <w:pStyle w:val="Prrafodelista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Sugerencias del EH</w:t>
      </w:r>
      <w:r>
        <w:rPr>
          <w:rFonts w:ascii="Calibri Light" w:hAnsi="Calibri Light" w:cs="Arial"/>
          <w:w w:val="90"/>
          <w:sz w:val="22"/>
          <w:szCs w:val="22"/>
          <w:lang w:val="es-ES"/>
        </w:rPr>
        <w:t>P sobre albergues y campamentos.</w:t>
      </w:r>
    </w:p>
    <w:p w14:paraId="3626E716" w14:textId="77777777" w:rsidR="006B4A87" w:rsidRPr="00A141C5" w:rsidRDefault="006B4A87" w:rsidP="006B4A87">
      <w:pPr>
        <w:pStyle w:val="Prrafodelista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Calibri Light" w:hAnsi="Calibri Light" w:cs="Arial"/>
          <w:w w:val="90"/>
          <w:sz w:val="22"/>
          <w:szCs w:val="22"/>
        </w:rPr>
      </w:pPr>
      <w:proofErr w:type="spellStart"/>
      <w:r w:rsidRPr="00A141C5">
        <w:rPr>
          <w:rFonts w:ascii="Calibri Light" w:hAnsi="Calibri Light" w:cs="Arial"/>
          <w:w w:val="90"/>
          <w:sz w:val="22"/>
          <w:szCs w:val="22"/>
        </w:rPr>
        <w:t>IASC</w:t>
      </w:r>
      <w:proofErr w:type="spellEnd"/>
      <w:r w:rsidRPr="00A141C5">
        <w:rPr>
          <w:rFonts w:ascii="Calibri Light" w:hAnsi="Calibri Light" w:cs="Arial"/>
          <w:w w:val="90"/>
          <w:sz w:val="22"/>
          <w:szCs w:val="22"/>
        </w:rPr>
        <w:t xml:space="preserve">, Protecting Persons Affected By Natural Disasters: </w:t>
      </w:r>
      <w:proofErr w:type="spellStart"/>
      <w:r w:rsidRPr="00A141C5">
        <w:rPr>
          <w:rFonts w:ascii="Calibri Light" w:hAnsi="Calibri Light" w:cs="Arial"/>
          <w:w w:val="90"/>
          <w:sz w:val="22"/>
          <w:szCs w:val="22"/>
        </w:rPr>
        <w:t>IASC</w:t>
      </w:r>
      <w:proofErr w:type="spellEnd"/>
      <w:r w:rsidRPr="00A141C5">
        <w:rPr>
          <w:rFonts w:ascii="Calibri Light" w:hAnsi="Calibri Light" w:cs="Arial"/>
          <w:w w:val="90"/>
          <w:sz w:val="22"/>
          <w:szCs w:val="22"/>
        </w:rPr>
        <w:t xml:space="preserve"> Operational Guidelines on Human Rights and Natural Disasters</w:t>
      </w:r>
    </w:p>
    <w:p w14:paraId="0D7BF76F" w14:textId="77777777" w:rsidR="006B4A87" w:rsidRPr="00A141C5" w:rsidRDefault="006B4A87" w:rsidP="006B4A87">
      <w:pPr>
        <w:pStyle w:val="Prrafodelista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Calibri Light" w:hAnsi="Calibri Light" w:cs="Arial"/>
          <w:w w:val="90"/>
          <w:sz w:val="22"/>
          <w:szCs w:val="22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Nota Conceptual Guía para los Socios del Grupo VTP dentro del contexto de los procesos de Reubicación. </w:t>
      </w:r>
      <w:r w:rsidRPr="00A141C5">
        <w:rPr>
          <w:rFonts w:ascii="Calibri Light" w:hAnsi="Calibri Light" w:cs="Arial"/>
          <w:w w:val="90"/>
          <w:sz w:val="22"/>
          <w:szCs w:val="22"/>
        </w:rPr>
        <w:t xml:space="preserve">Shelter Cluster Philippines </w:t>
      </w: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sym w:font="Wingdings" w:char="F0E0"/>
      </w:r>
      <w:r w:rsidRPr="00A141C5">
        <w:rPr>
          <w:rFonts w:ascii="Calibri Light" w:hAnsi="Calibri Light" w:cs="Arial"/>
          <w:w w:val="90"/>
          <w:sz w:val="22"/>
          <w:szCs w:val="22"/>
        </w:rPr>
        <w:t xml:space="preserve"> HLP GUIDANCE NOTE ON RELOCATION FOR SHELTER PARTNERS</w:t>
      </w:r>
    </w:p>
    <w:p w14:paraId="69F19E3C" w14:textId="3528CDE1" w:rsidR="006B4A87" w:rsidRPr="00DC2300" w:rsidRDefault="006B4A87" w:rsidP="00DC2300">
      <w:pPr>
        <w:pStyle w:val="Prrafodelista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Calibri Light" w:hAnsi="Calibri Light" w:cs="Arial"/>
          <w:w w:val="90"/>
          <w:sz w:val="22"/>
          <w:szCs w:val="22"/>
          <w:lang w:val="es-ES"/>
        </w:rPr>
      </w:pPr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Federación Internacional de Sociedades de la Cruz Roja y de la Media Luna Roja, Post-</w:t>
      </w:r>
      <w:proofErr w:type="spellStart"/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disaster</w:t>
      </w:r>
      <w:proofErr w:type="spellEnd"/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</w:t>
      </w:r>
      <w:proofErr w:type="spellStart"/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Settlement</w:t>
      </w:r>
      <w:proofErr w:type="spellEnd"/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</w:t>
      </w:r>
      <w:proofErr w:type="spellStart"/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Planning</w:t>
      </w:r>
      <w:proofErr w:type="spellEnd"/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and </w:t>
      </w:r>
      <w:proofErr w:type="spellStart"/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>Guidelines</w:t>
      </w:r>
      <w:proofErr w:type="spellEnd"/>
      <w:r w:rsidRPr="00FD0FD9">
        <w:rPr>
          <w:rFonts w:ascii="Calibri Light" w:hAnsi="Calibri Light" w:cs="Arial"/>
          <w:w w:val="90"/>
          <w:sz w:val="22"/>
          <w:szCs w:val="22"/>
          <w:lang w:val="es-ES"/>
        </w:rPr>
        <w:t xml:space="preserve"> </w:t>
      </w:r>
    </w:p>
    <w:sectPr w:rsidR="006B4A87" w:rsidRPr="00DC2300" w:rsidSect="008B4D8E">
      <w:pgSz w:w="12240" w:h="15840"/>
      <w:pgMar w:top="1276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3A60B" w14:textId="77777777" w:rsidR="008B4D8E" w:rsidRDefault="008B4D8E" w:rsidP="00DD001B">
      <w:r>
        <w:separator/>
      </w:r>
    </w:p>
  </w:endnote>
  <w:endnote w:type="continuationSeparator" w:id="0">
    <w:p w14:paraId="082EF5F4" w14:textId="77777777" w:rsidR="008B4D8E" w:rsidRDefault="008B4D8E" w:rsidP="00DD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F30F0" w14:textId="77777777" w:rsidR="008B4D8E" w:rsidRDefault="008B4D8E" w:rsidP="00DD001B">
      <w:r>
        <w:separator/>
      </w:r>
    </w:p>
  </w:footnote>
  <w:footnote w:type="continuationSeparator" w:id="0">
    <w:p w14:paraId="051DDB8D" w14:textId="77777777" w:rsidR="008B4D8E" w:rsidRDefault="008B4D8E" w:rsidP="00DD001B">
      <w:r>
        <w:continuationSeparator/>
      </w:r>
    </w:p>
  </w:footnote>
  <w:footnote w:id="1">
    <w:p w14:paraId="28AEE266" w14:textId="59B0AC25" w:rsidR="008B4D8E" w:rsidRPr="00DC2300" w:rsidRDefault="008B4D8E" w:rsidP="00DC2300">
      <w:pPr>
        <w:pStyle w:val="Textonotapie"/>
        <w:rPr>
          <w:rFonts w:asciiTheme="majorHAnsi" w:hAnsiTheme="majorHAnsi" w:cs="Times New Roman"/>
          <w:sz w:val="18"/>
          <w:szCs w:val="18"/>
        </w:rPr>
      </w:pPr>
      <w:r w:rsidRPr="00DC2300">
        <w:rPr>
          <w:rStyle w:val="Refdenotaalpie"/>
          <w:rFonts w:asciiTheme="majorHAnsi" w:hAnsiTheme="majorHAnsi"/>
          <w:sz w:val="18"/>
          <w:szCs w:val="18"/>
        </w:rPr>
        <w:footnoteRef/>
      </w:r>
      <w:r w:rsidRPr="00DC2300">
        <w:rPr>
          <w:rFonts w:asciiTheme="majorHAnsi" w:hAnsi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/>
          <w:sz w:val="18"/>
          <w:szCs w:val="18"/>
        </w:rPr>
        <w:t>Constitución</w:t>
      </w:r>
      <w:proofErr w:type="spellEnd"/>
      <w:r>
        <w:rPr>
          <w:rFonts w:asciiTheme="majorHAnsi" w:hAnsiTheme="majorHAnsi"/>
          <w:sz w:val="18"/>
          <w:szCs w:val="18"/>
        </w:rPr>
        <w:t xml:space="preserve"> del Ecuador, art. 42 “</w:t>
      </w:r>
      <w:r w:rsidRPr="00DC2300">
        <w:rPr>
          <w:rFonts w:asciiTheme="majorHAnsi" w:hAnsiTheme="majorHAnsi" w:cs="Times New Roman"/>
          <w:sz w:val="18"/>
          <w:szCs w:val="18"/>
        </w:rPr>
        <w:t xml:space="preserve">Las personas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que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hayan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sido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desplazadas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tendrán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derecho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a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recibir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protección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y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asistencia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humanitaria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emergente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de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las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autoridades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,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que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asegure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el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acceso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a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alimentos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,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alojamiento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,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vivienda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y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servicios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médicos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y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sanitarios.</w:t>
      </w:r>
      <w:r>
        <w:rPr>
          <w:rFonts w:asciiTheme="majorHAnsi" w:hAnsiTheme="majorHAnsi" w:cs="Times New Roman"/>
          <w:sz w:val="18"/>
          <w:szCs w:val="18"/>
        </w:rPr>
        <w:t>v</w:t>
      </w:r>
      <w:r w:rsidRPr="00DC2300">
        <w:rPr>
          <w:rFonts w:asciiTheme="majorHAnsi" w:hAnsiTheme="majorHAnsi" w:cs="Times New Roman"/>
          <w:sz w:val="18"/>
          <w:szCs w:val="18"/>
        </w:rPr>
        <w:t>Las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niñas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,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niños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,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adolescentes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,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mujeres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embarazadas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,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madres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con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hijas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o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hijos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menores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, personas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adultas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mayores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y personas con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discapacidad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recibirán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asistencia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humanitaria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preferente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y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especializada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>.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Todas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las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personas y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grupos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desplazados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tienen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derecho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a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retornar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a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su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lugar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de </w:t>
      </w:r>
      <w:proofErr w:type="spellStart"/>
      <w:proofErr w:type="gramStart"/>
      <w:r w:rsidRPr="00DC2300">
        <w:rPr>
          <w:rFonts w:asciiTheme="majorHAnsi" w:hAnsiTheme="majorHAnsi" w:cs="Times New Roman"/>
          <w:sz w:val="18"/>
          <w:szCs w:val="18"/>
        </w:rPr>
        <w:t>origen</w:t>
      </w:r>
      <w:proofErr w:type="spellEnd"/>
      <w:proofErr w:type="gramEnd"/>
      <w:r w:rsidRPr="00DC2300">
        <w:rPr>
          <w:rFonts w:asciiTheme="majorHAnsi" w:hAnsiTheme="majorHAnsi" w:cs="Times New Roman"/>
          <w:sz w:val="18"/>
          <w:szCs w:val="18"/>
        </w:rPr>
        <w:t xml:space="preserve"> de forma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voluntaria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,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segura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 xml:space="preserve"> y </w:t>
      </w:r>
      <w:proofErr w:type="spellStart"/>
      <w:r w:rsidRPr="00DC2300">
        <w:rPr>
          <w:rFonts w:asciiTheme="majorHAnsi" w:hAnsiTheme="majorHAnsi" w:cs="Times New Roman"/>
          <w:sz w:val="18"/>
          <w:szCs w:val="18"/>
        </w:rPr>
        <w:t>digna</w:t>
      </w:r>
      <w:proofErr w:type="spellEnd"/>
      <w:r w:rsidRPr="00DC2300">
        <w:rPr>
          <w:rFonts w:asciiTheme="majorHAnsi" w:hAnsiTheme="majorHAnsi" w:cs="Times New Roman"/>
          <w:sz w:val="18"/>
          <w:szCs w:val="18"/>
        </w:rPr>
        <w:t>.</w:t>
      </w:r>
      <w:r>
        <w:rPr>
          <w:rFonts w:asciiTheme="majorHAnsi" w:hAnsiTheme="majorHAnsi" w:cs="Times New Roman"/>
          <w:sz w:val="18"/>
          <w:szCs w:val="18"/>
        </w:rPr>
        <w:t>”</w:t>
      </w:r>
    </w:p>
  </w:footnote>
  <w:footnote w:id="2">
    <w:p w14:paraId="0B0B4870" w14:textId="77777777" w:rsidR="008B4D8E" w:rsidRPr="00DC2300" w:rsidRDefault="008B4D8E" w:rsidP="00FD0FD9">
      <w:pPr>
        <w:pStyle w:val="Textonotapie"/>
        <w:jc w:val="both"/>
        <w:rPr>
          <w:rFonts w:asciiTheme="majorHAnsi" w:hAnsiTheme="majorHAnsi" w:cs="Times New Roman"/>
          <w:sz w:val="18"/>
          <w:szCs w:val="18"/>
        </w:rPr>
      </w:pPr>
      <w:r w:rsidRPr="00DC2300">
        <w:rPr>
          <w:rStyle w:val="Refdenotaalpie"/>
          <w:rFonts w:asciiTheme="majorHAnsi" w:hAnsiTheme="majorHAnsi" w:cs="Times New Roman"/>
          <w:sz w:val="18"/>
          <w:szCs w:val="18"/>
        </w:rPr>
        <w:footnoteRef/>
      </w:r>
      <w:r w:rsidRPr="00DC2300">
        <w:rPr>
          <w:rFonts w:asciiTheme="majorHAnsi" w:hAnsiTheme="majorHAnsi" w:cs="Times New Roman"/>
          <w:sz w:val="18"/>
          <w:szCs w:val="18"/>
        </w:rPr>
        <w:t xml:space="preserve"> IASC, Protecting Persons Affected By Natural Disasters: IASC Operational Guidelines on Human Rights and Natural Disasters, 2006, para C.2.9. </w:t>
      </w:r>
    </w:p>
  </w:footnote>
  <w:footnote w:id="3">
    <w:p w14:paraId="4AE6B579" w14:textId="77777777" w:rsidR="008B4D8E" w:rsidRPr="00DC2300" w:rsidRDefault="008B4D8E" w:rsidP="00FD0FD9">
      <w:pPr>
        <w:pStyle w:val="Textonotapie"/>
        <w:jc w:val="both"/>
        <w:rPr>
          <w:rFonts w:asciiTheme="majorHAnsi" w:hAnsiTheme="majorHAnsi" w:cs="Times New Roman"/>
          <w:sz w:val="18"/>
          <w:szCs w:val="18"/>
          <w:lang w:val="fr-FR"/>
        </w:rPr>
      </w:pPr>
      <w:r w:rsidRPr="00DC2300">
        <w:rPr>
          <w:rStyle w:val="Refdenotaalpie"/>
          <w:rFonts w:asciiTheme="majorHAnsi" w:hAnsiTheme="majorHAnsi" w:cs="Times New Roman"/>
          <w:sz w:val="18"/>
          <w:szCs w:val="18"/>
        </w:rPr>
        <w:footnoteRef/>
      </w:r>
      <w:r w:rsidRPr="00DC2300">
        <w:rPr>
          <w:rFonts w:asciiTheme="majorHAnsi" w:hAnsiTheme="majorHAnsi" w:cs="Times New Roman"/>
          <w:sz w:val="18"/>
          <w:szCs w:val="18"/>
          <w:lang w:val="fr-FR"/>
        </w:rPr>
        <w:t>Shelter Cluster Philippines. Disponible en: https://www.sheltercluster.org/sites/default/files/docs/Relocation%20-%20HLP%20Guidance%20Note%20for%20Shelter%</w:t>
      </w:r>
      <w:proofErr w:type="gramStart"/>
      <w:r w:rsidRPr="00DC2300">
        <w:rPr>
          <w:rFonts w:asciiTheme="majorHAnsi" w:hAnsiTheme="majorHAnsi" w:cs="Times New Roman"/>
          <w:sz w:val="18"/>
          <w:szCs w:val="18"/>
          <w:lang w:val="fr-FR"/>
        </w:rPr>
        <w:t>20Partners.pdf  ;</w:t>
      </w:r>
      <w:proofErr w:type="gramEnd"/>
      <w:r w:rsidRPr="00DC2300">
        <w:rPr>
          <w:rFonts w:asciiTheme="majorHAnsi" w:hAnsiTheme="majorHAnsi" w:cs="Times New Roman"/>
          <w:sz w:val="18"/>
          <w:szCs w:val="18"/>
          <w:lang w:val="fr-FR"/>
        </w:rPr>
        <w:t xml:space="preserve"> P. 1-2</w:t>
      </w:r>
    </w:p>
  </w:footnote>
  <w:footnote w:id="4">
    <w:p w14:paraId="0FCCCA0D" w14:textId="77777777" w:rsidR="008B4D8E" w:rsidRPr="00DC2300" w:rsidRDefault="008B4D8E" w:rsidP="00FD0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Times New Roman"/>
          <w:sz w:val="18"/>
          <w:szCs w:val="18"/>
          <w:lang w:val="es-ES"/>
        </w:rPr>
      </w:pPr>
      <w:r w:rsidRPr="00DC2300">
        <w:rPr>
          <w:rStyle w:val="Refdenotaalpie"/>
          <w:rFonts w:asciiTheme="majorHAnsi" w:hAnsiTheme="majorHAnsi" w:cs="Times New Roman"/>
          <w:sz w:val="18"/>
          <w:szCs w:val="18"/>
        </w:rPr>
        <w:footnoteRef/>
      </w:r>
      <w:r w:rsidRPr="00DC2300">
        <w:rPr>
          <w:rFonts w:asciiTheme="majorHAnsi" w:hAnsiTheme="majorHAnsi" w:cs="Times New Roman"/>
          <w:sz w:val="18"/>
          <w:szCs w:val="18"/>
          <w:lang w:val="es-ES"/>
        </w:rPr>
        <w:t xml:space="preserve"> </w:t>
      </w:r>
      <w:r w:rsidRPr="00DC2300">
        <w:rPr>
          <w:rFonts w:asciiTheme="majorHAnsi" w:hAnsiTheme="majorHAnsi" w:cs="Times New Roman"/>
          <w:position w:val="10"/>
          <w:sz w:val="18"/>
          <w:szCs w:val="18"/>
          <w:lang w:val="es-ES"/>
        </w:rPr>
        <w:t> </w:t>
      </w:r>
      <w:r w:rsidRPr="00DC2300">
        <w:rPr>
          <w:rFonts w:asciiTheme="majorHAnsi" w:hAnsiTheme="majorHAnsi" w:cs="Times New Roman"/>
          <w:sz w:val="18"/>
          <w:szCs w:val="18"/>
          <w:lang w:val="es-ES"/>
        </w:rPr>
        <w:t xml:space="preserve">Federación Internacional de Sociedades de la Cruz Roja y de la Media Luna Roja, </w:t>
      </w:r>
      <w:r w:rsidRPr="00DC2300">
        <w:rPr>
          <w:rFonts w:asciiTheme="majorHAnsi" w:hAnsiTheme="majorHAnsi" w:cs="Times New Roman"/>
          <w:i/>
          <w:iCs/>
          <w:sz w:val="18"/>
          <w:szCs w:val="18"/>
          <w:lang w:val="es-ES"/>
        </w:rPr>
        <w:t>Post-</w:t>
      </w:r>
      <w:proofErr w:type="spellStart"/>
      <w:r w:rsidRPr="00DC2300">
        <w:rPr>
          <w:rFonts w:asciiTheme="majorHAnsi" w:hAnsiTheme="majorHAnsi" w:cs="Times New Roman"/>
          <w:i/>
          <w:iCs/>
          <w:sz w:val="18"/>
          <w:szCs w:val="18"/>
          <w:lang w:val="es-ES"/>
        </w:rPr>
        <w:t>disaster</w:t>
      </w:r>
      <w:proofErr w:type="spellEnd"/>
      <w:r w:rsidRPr="00DC2300">
        <w:rPr>
          <w:rFonts w:asciiTheme="majorHAnsi" w:hAnsiTheme="majorHAnsi" w:cs="Times New Roman"/>
          <w:i/>
          <w:iCs/>
          <w:sz w:val="18"/>
          <w:szCs w:val="18"/>
          <w:lang w:val="es-ES"/>
        </w:rPr>
        <w:t xml:space="preserve"> </w:t>
      </w:r>
      <w:proofErr w:type="spellStart"/>
      <w:r w:rsidRPr="00DC2300">
        <w:rPr>
          <w:rFonts w:asciiTheme="majorHAnsi" w:hAnsiTheme="majorHAnsi" w:cs="Times New Roman"/>
          <w:i/>
          <w:iCs/>
          <w:sz w:val="18"/>
          <w:szCs w:val="18"/>
          <w:lang w:val="es-ES"/>
        </w:rPr>
        <w:t>Settlement</w:t>
      </w:r>
      <w:proofErr w:type="spellEnd"/>
      <w:r w:rsidRPr="00DC2300">
        <w:rPr>
          <w:rFonts w:asciiTheme="majorHAnsi" w:hAnsiTheme="majorHAnsi" w:cs="Times New Roman"/>
          <w:i/>
          <w:iCs/>
          <w:sz w:val="18"/>
          <w:szCs w:val="18"/>
          <w:lang w:val="es-ES"/>
        </w:rPr>
        <w:t xml:space="preserve"> </w:t>
      </w:r>
      <w:proofErr w:type="spellStart"/>
      <w:r w:rsidRPr="00DC2300">
        <w:rPr>
          <w:rFonts w:asciiTheme="majorHAnsi" w:hAnsiTheme="majorHAnsi" w:cs="Times New Roman"/>
          <w:i/>
          <w:iCs/>
          <w:sz w:val="18"/>
          <w:szCs w:val="18"/>
          <w:lang w:val="es-ES"/>
        </w:rPr>
        <w:t>Planning</w:t>
      </w:r>
      <w:proofErr w:type="spellEnd"/>
      <w:r w:rsidRPr="00DC2300">
        <w:rPr>
          <w:rFonts w:asciiTheme="majorHAnsi" w:hAnsiTheme="majorHAnsi" w:cs="Times New Roman"/>
          <w:i/>
          <w:iCs/>
          <w:sz w:val="18"/>
          <w:szCs w:val="18"/>
          <w:lang w:val="es-ES"/>
        </w:rPr>
        <w:t xml:space="preserve"> and </w:t>
      </w:r>
      <w:proofErr w:type="spellStart"/>
      <w:r w:rsidRPr="00DC2300">
        <w:rPr>
          <w:rFonts w:asciiTheme="majorHAnsi" w:hAnsiTheme="majorHAnsi" w:cs="Times New Roman"/>
          <w:i/>
          <w:iCs/>
          <w:sz w:val="18"/>
          <w:szCs w:val="18"/>
          <w:lang w:val="es-ES"/>
        </w:rPr>
        <w:t>Guidelines</w:t>
      </w:r>
      <w:proofErr w:type="spellEnd"/>
      <w:r w:rsidRPr="00DC2300">
        <w:rPr>
          <w:rFonts w:asciiTheme="majorHAnsi" w:hAnsiTheme="majorHAnsi" w:cs="Times New Roman"/>
          <w:i/>
          <w:iCs/>
          <w:sz w:val="18"/>
          <w:szCs w:val="18"/>
          <w:lang w:val="es-ES"/>
        </w:rPr>
        <w:t xml:space="preserve"> </w:t>
      </w:r>
      <w:r w:rsidRPr="00DC2300">
        <w:rPr>
          <w:rFonts w:asciiTheme="majorHAnsi" w:hAnsiTheme="majorHAnsi" w:cs="Times New Roman"/>
          <w:sz w:val="18"/>
          <w:szCs w:val="18"/>
          <w:lang w:val="es-ES"/>
        </w:rPr>
        <w:t xml:space="preserve">(2012), pág. 7. </w:t>
      </w:r>
      <w:r w:rsidRPr="00DC2300">
        <w:rPr>
          <w:rFonts w:asciiTheme="majorHAnsi" w:eastAsia="MS Gothic" w:hAnsiTheme="majorHAnsi" w:cs="MS Gothic"/>
          <w:sz w:val="18"/>
          <w:szCs w:val="18"/>
          <w:lang w:val="es-ES"/>
        </w:rPr>
        <w:t> </w:t>
      </w:r>
    </w:p>
  </w:footnote>
  <w:footnote w:id="5">
    <w:p w14:paraId="3E701CE1" w14:textId="77777777" w:rsidR="008B4D8E" w:rsidRPr="00DC2300" w:rsidRDefault="008B4D8E" w:rsidP="00FD0FD9">
      <w:pPr>
        <w:pStyle w:val="Textonotapie"/>
        <w:jc w:val="both"/>
        <w:rPr>
          <w:rFonts w:asciiTheme="majorHAnsi" w:hAnsiTheme="majorHAnsi" w:cs="Times New Roman"/>
          <w:sz w:val="18"/>
          <w:szCs w:val="18"/>
          <w:lang w:val="fr-FR"/>
        </w:rPr>
      </w:pPr>
      <w:r w:rsidRPr="00DC2300">
        <w:rPr>
          <w:rStyle w:val="Refdenotaalpie"/>
          <w:rFonts w:asciiTheme="majorHAnsi" w:hAnsiTheme="majorHAnsi" w:cs="Times New Roman"/>
          <w:sz w:val="18"/>
          <w:szCs w:val="18"/>
        </w:rPr>
        <w:footnoteRef/>
      </w:r>
      <w:r w:rsidRPr="00DC2300">
        <w:rPr>
          <w:rFonts w:asciiTheme="majorHAnsi" w:hAnsiTheme="majorHAnsi" w:cs="Times New Roman"/>
          <w:sz w:val="18"/>
          <w:szCs w:val="18"/>
          <w:lang w:val="fr-FR"/>
        </w:rPr>
        <w:t>Shelter Cluster Philippines. Disponible en: https://www.sheltercluster.org/sites/default/files/docs/Relocation%20-%20HLP%20Guidance%20Note%20for%20Shelter%</w:t>
      </w:r>
      <w:proofErr w:type="gramStart"/>
      <w:r w:rsidRPr="00DC2300">
        <w:rPr>
          <w:rFonts w:asciiTheme="majorHAnsi" w:hAnsiTheme="majorHAnsi" w:cs="Times New Roman"/>
          <w:sz w:val="18"/>
          <w:szCs w:val="18"/>
          <w:lang w:val="fr-FR"/>
        </w:rPr>
        <w:t>20Partners.pdf  ;</w:t>
      </w:r>
      <w:proofErr w:type="gramEnd"/>
      <w:r w:rsidRPr="00DC2300">
        <w:rPr>
          <w:rFonts w:asciiTheme="majorHAnsi" w:hAnsiTheme="majorHAnsi" w:cs="Times New Roman"/>
          <w:sz w:val="18"/>
          <w:szCs w:val="18"/>
          <w:lang w:val="fr-FR"/>
        </w:rPr>
        <w:t xml:space="preserve"> P. 3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CD6056"/>
    <w:multiLevelType w:val="hybridMultilevel"/>
    <w:tmpl w:val="1E807C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D220D"/>
    <w:multiLevelType w:val="hybridMultilevel"/>
    <w:tmpl w:val="24369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1B"/>
    <w:rsid w:val="00020635"/>
    <w:rsid w:val="00085351"/>
    <w:rsid w:val="00190DC0"/>
    <w:rsid w:val="001A079E"/>
    <w:rsid w:val="001A7A9A"/>
    <w:rsid w:val="001F444A"/>
    <w:rsid w:val="0022008A"/>
    <w:rsid w:val="00224E5E"/>
    <w:rsid w:val="0023053D"/>
    <w:rsid w:val="002B2D41"/>
    <w:rsid w:val="002C7138"/>
    <w:rsid w:val="003071BD"/>
    <w:rsid w:val="003504FE"/>
    <w:rsid w:val="003D60CC"/>
    <w:rsid w:val="003E3D03"/>
    <w:rsid w:val="00477EF4"/>
    <w:rsid w:val="004F7D32"/>
    <w:rsid w:val="00565951"/>
    <w:rsid w:val="0056753F"/>
    <w:rsid w:val="00584DB7"/>
    <w:rsid w:val="005E6F42"/>
    <w:rsid w:val="006331E9"/>
    <w:rsid w:val="0064060D"/>
    <w:rsid w:val="006A6FA4"/>
    <w:rsid w:val="006B4A87"/>
    <w:rsid w:val="006F3A00"/>
    <w:rsid w:val="00725366"/>
    <w:rsid w:val="007A60F3"/>
    <w:rsid w:val="00811990"/>
    <w:rsid w:val="008B4D8E"/>
    <w:rsid w:val="00921A45"/>
    <w:rsid w:val="00926D31"/>
    <w:rsid w:val="009643AF"/>
    <w:rsid w:val="0096516B"/>
    <w:rsid w:val="009E2F50"/>
    <w:rsid w:val="009F149C"/>
    <w:rsid w:val="00A141C5"/>
    <w:rsid w:val="00A4009A"/>
    <w:rsid w:val="00A57A00"/>
    <w:rsid w:val="00AD4A31"/>
    <w:rsid w:val="00AF4B8D"/>
    <w:rsid w:val="00B40173"/>
    <w:rsid w:val="00BA6806"/>
    <w:rsid w:val="00C61744"/>
    <w:rsid w:val="00CE6E71"/>
    <w:rsid w:val="00D02EC2"/>
    <w:rsid w:val="00D66F38"/>
    <w:rsid w:val="00DC2300"/>
    <w:rsid w:val="00DD001B"/>
    <w:rsid w:val="00E11036"/>
    <w:rsid w:val="00E31DFD"/>
    <w:rsid w:val="00E4125E"/>
    <w:rsid w:val="00E82074"/>
    <w:rsid w:val="00EE65D4"/>
    <w:rsid w:val="00EE72C7"/>
    <w:rsid w:val="00FD0FD9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14B4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D001B"/>
  </w:style>
  <w:style w:type="character" w:customStyle="1" w:styleId="TextonotapieCar">
    <w:name w:val="Texto nota pie Car"/>
    <w:basedOn w:val="Fuentedeprrafopredeter"/>
    <w:link w:val="Textonotapie"/>
    <w:uiPriority w:val="99"/>
    <w:rsid w:val="00DD001B"/>
    <w:rPr>
      <w:lang w:val="en-US"/>
    </w:rPr>
  </w:style>
  <w:style w:type="character" w:styleId="Refdenotaalpie">
    <w:name w:val="footnote reference"/>
    <w:basedOn w:val="Fuentedeprrafopredeter"/>
    <w:uiPriority w:val="99"/>
    <w:unhideWhenUsed/>
    <w:rsid w:val="00DD001B"/>
    <w:rPr>
      <w:vertAlign w:val="superscript"/>
    </w:rPr>
  </w:style>
  <w:style w:type="paragraph" w:customStyle="1" w:styleId="Normal1">
    <w:name w:val="Normal1"/>
    <w:rsid w:val="00DD001B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/>
    </w:rPr>
  </w:style>
  <w:style w:type="paragraph" w:styleId="Prrafodelista">
    <w:name w:val="List Paragraph"/>
    <w:basedOn w:val="Normal"/>
    <w:uiPriority w:val="34"/>
    <w:qFormat/>
    <w:rsid w:val="00DD00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001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01B"/>
    <w:rPr>
      <w:rFonts w:ascii="Lucida Grande" w:hAnsi="Lucida Grande" w:cs="Lucida Grande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7A60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D001B"/>
  </w:style>
  <w:style w:type="character" w:customStyle="1" w:styleId="TextonotapieCar">
    <w:name w:val="Texto nota pie Car"/>
    <w:basedOn w:val="Fuentedeprrafopredeter"/>
    <w:link w:val="Textonotapie"/>
    <w:uiPriority w:val="99"/>
    <w:rsid w:val="00DD001B"/>
    <w:rPr>
      <w:lang w:val="en-US"/>
    </w:rPr>
  </w:style>
  <w:style w:type="character" w:styleId="Refdenotaalpie">
    <w:name w:val="footnote reference"/>
    <w:basedOn w:val="Fuentedeprrafopredeter"/>
    <w:uiPriority w:val="99"/>
    <w:unhideWhenUsed/>
    <w:rsid w:val="00DD001B"/>
    <w:rPr>
      <w:vertAlign w:val="superscript"/>
    </w:rPr>
  </w:style>
  <w:style w:type="paragraph" w:customStyle="1" w:styleId="Normal1">
    <w:name w:val="Normal1"/>
    <w:rsid w:val="00DD001B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/>
    </w:rPr>
  </w:style>
  <w:style w:type="paragraph" w:styleId="Prrafodelista">
    <w:name w:val="List Paragraph"/>
    <w:basedOn w:val="Normal"/>
    <w:uiPriority w:val="34"/>
    <w:qFormat/>
    <w:rsid w:val="00DD00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001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01B"/>
    <w:rPr>
      <w:rFonts w:ascii="Lucida Grande" w:hAnsi="Lucida Grande" w:cs="Lucida Grande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7A6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9E3E6-2901-E841-9D7E-2600F96A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1139</Words>
  <Characters>6269</Characters>
  <Application>Microsoft Macintosh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lima2013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Principios y Valores</dc:creator>
  <cp:lastModifiedBy>Hugo Cahueñas Muñoz</cp:lastModifiedBy>
  <cp:revision>4</cp:revision>
  <cp:lastPrinted>2016-08-03T14:57:00Z</cp:lastPrinted>
  <dcterms:created xsi:type="dcterms:W3CDTF">2016-08-04T03:26:00Z</dcterms:created>
  <dcterms:modified xsi:type="dcterms:W3CDTF">2016-08-04T20:01:00Z</dcterms:modified>
</cp:coreProperties>
</file>