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8CB6C5" w14:textId="1E5BFEF5" w:rsidR="00D60172" w:rsidRDefault="009A573C" w:rsidP="00D60172">
      <w:pPr>
        <w:pStyle w:val="Cuerp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D60172">
        <w:rPr>
          <w:rFonts w:ascii="Times New Roman" w:hAnsi="Times New Roman" w:cs="Times New Roman"/>
          <w:b/>
          <w:sz w:val="24"/>
          <w:szCs w:val="24"/>
          <w:u w:val="single"/>
        </w:rPr>
        <w:t>/0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D60172">
        <w:rPr>
          <w:rFonts w:ascii="Times New Roman" w:hAnsi="Times New Roman" w:cs="Times New Roman"/>
          <w:b/>
          <w:sz w:val="24"/>
          <w:szCs w:val="24"/>
          <w:u w:val="single"/>
        </w:rPr>
        <w:t>5/17</w:t>
      </w:r>
    </w:p>
    <w:p w14:paraId="1D4C8BCB" w14:textId="77777777" w:rsidR="00D60172" w:rsidRDefault="00D60172" w:rsidP="00D60172">
      <w:pPr>
        <w:pStyle w:val="Cuerp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4C2429" w14:textId="77777777" w:rsidR="00A73857" w:rsidRDefault="00A73857" w:rsidP="00A73857">
      <w:pPr>
        <w:widowControl w:val="0"/>
        <w:autoSpaceDE w:val="0"/>
        <w:autoSpaceDN w:val="0"/>
        <w:adjustRightInd w:val="0"/>
        <w:jc w:val="center"/>
        <w:rPr>
          <w:rFonts w:ascii="Helvetica" w:eastAsiaTheme="minorEastAsia" w:hAnsi="Helvetica" w:cs="Helvetica"/>
          <w:color w:val="000000"/>
          <w:sz w:val="28"/>
          <w:szCs w:val="28"/>
        </w:rPr>
      </w:pPr>
      <w:r>
        <w:rPr>
          <w:rFonts w:ascii="Trebuchet MS" w:eastAsiaTheme="minorEastAsia" w:hAnsi="Trebuchet MS" w:cs="Trebuchet MS"/>
          <w:b/>
          <w:bCs/>
          <w:color w:val="000000"/>
          <w:sz w:val="28"/>
          <w:szCs w:val="28"/>
        </w:rPr>
        <w:t>AUGC analiza el resultado de los avances obtenidos para los guardias civiles ante los Presupuestos del Estado</w:t>
      </w:r>
    </w:p>
    <w:p w14:paraId="6113EFAA" w14:textId="77777777" w:rsidR="00A73857" w:rsidRDefault="00A73857" w:rsidP="00A73857">
      <w:pPr>
        <w:widowControl w:val="0"/>
        <w:autoSpaceDE w:val="0"/>
        <w:autoSpaceDN w:val="0"/>
        <w:adjustRightInd w:val="0"/>
        <w:rPr>
          <w:rFonts w:ascii="Helvetica" w:eastAsiaTheme="minorEastAsia" w:hAnsi="Helvetica" w:cs="Helvetica"/>
          <w:color w:val="000000"/>
          <w:sz w:val="22"/>
          <w:szCs w:val="22"/>
        </w:rPr>
      </w:pPr>
    </w:p>
    <w:p w14:paraId="51F1E102" w14:textId="77777777" w:rsidR="00A60618" w:rsidRDefault="00A60618" w:rsidP="00A6061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</w:rPr>
      </w:pPr>
    </w:p>
    <w:p w14:paraId="6C1C4846" w14:textId="77777777" w:rsidR="009A573C" w:rsidRDefault="00A73857" w:rsidP="00A6061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val="single" w:color="000000"/>
        </w:rPr>
      </w:pPr>
      <w:r>
        <w:rPr>
          <w:rFonts w:ascii="Trebuchet MS" w:eastAsiaTheme="minorEastAsia" w:hAnsi="Trebuchet MS" w:cs="Trebuchet MS"/>
          <w:color w:val="000000"/>
          <w:sz w:val="22"/>
          <w:szCs w:val="22"/>
        </w:rPr>
        <w:t>A  lo largo de los últimos meses</w:t>
      </w:r>
      <w:r w:rsidR="009A573C">
        <w:rPr>
          <w:rFonts w:ascii="Trebuchet MS" w:eastAsiaTheme="minorEastAsia" w:hAnsi="Trebuchet MS" w:cs="Trebuchet MS"/>
          <w:color w:val="000000"/>
          <w:sz w:val="22"/>
          <w:szCs w:val="22"/>
        </w:rPr>
        <w:t xml:space="preserve"> </w:t>
      </w:r>
      <w:r>
        <w:rPr>
          <w:rFonts w:ascii="Trebuchet MS" w:eastAsiaTheme="minorEastAsia" w:hAnsi="Trebuchet MS" w:cs="Trebuchet MS"/>
          <w:color w:val="000000"/>
          <w:sz w:val="22"/>
          <w:szCs w:val="22"/>
        </w:rPr>
        <w:t xml:space="preserve">la Secretaría de Relaciones Institucionales de AUGC, asociación mayoritaria e integrada por todas las escalas en el colectivo de la Guardia Civil,  ha venido manteniendo, como en años anteriores, </w:t>
      </w:r>
      <w:hyperlink r:id="rId7" w:history="1">
        <w:r w:rsidRPr="009A573C">
          <w:rPr>
            <w:rStyle w:val="Hipervnculo"/>
            <w:rFonts w:ascii="Trebuchet MS" w:eastAsiaTheme="minorEastAsia" w:hAnsi="Trebuchet MS" w:cs="Trebuchet MS"/>
            <w:sz w:val="22"/>
            <w:szCs w:val="22"/>
            <w:u w:color="000000"/>
          </w:rPr>
          <w:t>reuniones espec</w:t>
        </w:r>
        <w:r w:rsidR="009A573C" w:rsidRPr="009A573C">
          <w:rPr>
            <w:rStyle w:val="Hipervnculo"/>
            <w:rFonts w:ascii="Trebuchet MS" w:eastAsiaTheme="minorEastAsia" w:hAnsi="Trebuchet MS" w:cs="Trebuchet MS"/>
            <w:sz w:val="22"/>
            <w:szCs w:val="22"/>
            <w:u w:color="000000"/>
          </w:rPr>
          <w:t>í</w:t>
        </w:r>
        <w:r w:rsidRPr="009A573C">
          <w:rPr>
            <w:rStyle w:val="Hipervnculo"/>
            <w:rFonts w:ascii="Trebuchet MS" w:eastAsiaTheme="minorEastAsia" w:hAnsi="Trebuchet MS" w:cs="Trebuchet MS"/>
            <w:sz w:val="22"/>
            <w:szCs w:val="22"/>
            <w:u w:color="000000"/>
          </w:rPr>
          <w:t>ficas con todos los grupos parlamentarios</w:t>
        </w:r>
      </w:hyperlink>
      <w:r w:rsidR="009A573C">
        <w:rPr>
          <w:rFonts w:ascii="Trebuchet MS" w:eastAsiaTheme="minorEastAsia" w:hAnsi="Trebuchet MS" w:cs="Trebuchet MS"/>
          <w:color w:val="000000"/>
          <w:sz w:val="22"/>
          <w:szCs w:val="22"/>
          <w:u w:val="single" w:color="000000"/>
        </w:rPr>
        <w:t>.</w:t>
      </w:r>
    </w:p>
    <w:p w14:paraId="6DF6851D" w14:textId="4751EE6E" w:rsidR="00A73857" w:rsidRDefault="009A573C" w:rsidP="00A6061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El objetivo de estos encuentros</w:t>
      </w:r>
      <w:r w:rsidR="004525C8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es </w:t>
      </w:r>
      <w:r w:rsidR="00A73857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sensibilizar y trasladar a los diferentes grupos </w:t>
      </w:r>
      <w:r w:rsidR="004525C8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de </w:t>
      </w:r>
      <w:r w:rsidR="00A73857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aquellos aspectos relacionados con los  intereses </w:t>
      </w:r>
      <w:proofErr w:type="spellStart"/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sociolaborales</w:t>
      </w:r>
      <w:proofErr w:type="spellEnd"/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de</w:t>
      </w:r>
      <w:r w:rsidR="004525C8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los guardias civiles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, y especialmente</w:t>
      </w:r>
      <w:r w:rsidR="00A73857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en esta ocasión</w:t>
      </w:r>
      <w:r w:rsidR="004525C8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su discriminación retributiva. Y es que</w:t>
      </w:r>
      <w:r w:rsidR="00A73857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a lo largo de</w:t>
      </w:r>
      <w:r w:rsidR="004525C8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este</w:t>
      </w:r>
      <w:r w:rsidR="00A73857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año hemos podido escuchar en distintas intervenciones en el Congreso, además de en los medios de comunicación</w:t>
      </w:r>
      <w:r w:rsidR="00A60618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, incluso por parte del M</w:t>
      </w:r>
      <w:r w:rsidR="00A73857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inistro de</w:t>
      </w:r>
      <w:r w:rsidR="00A60618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l I</w:t>
      </w:r>
      <w:r w:rsidR="00A73857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nterior, entre otros, compromisos políticos de mejoras y equiparación retributiva para los guardias civiles con respecto al resto de </w:t>
      </w:r>
      <w:r w:rsidR="00A60618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las </w:t>
      </w:r>
      <w:r w:rsidR="00A73857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FCSE.</w:t>
      </w:r>
    </w:p>
    <w:p w14:paraId="14CCCED7" w14:textId="28CDE7CE" w:rsidR="00A73857" w:rsidRDefault="00A73857" w:rsidP="00A6061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Tras meses de debate y negociaciones, el Gobierno, apoyándose en un pacto de grupos parlamentarios ha conseguido aprobar los P</w:t>
      </w:r>
      <w:r w:rsidR="00A60618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resupuestos Generales del Estado de 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2017. </w:t>
      </w:r>
    </w:p>
    <w:p w14:paraId="642575AA" w14:textId="23ABC460" w:rsidR="00A73857" w:rsidRDefault="00A73857" w:rsidP="00A6061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Ahora, partiendo del </w:t>
      </w:r>
      <w:hyperlink r:id="rId8" w:history="1">
        <w:r w:rsidRPr="00A60618">
          <w:rPr>
            <w:rStyle w:val="Hipervnculo"/>
            <w:rFonts w:ascii="Trebuchet MS" w:eastAsiaTheme="minorEastAsia" w:hAnsi="Trebuchet MS" w:cs="Trebuchet MS"/>
            <w:sz w:val="22"/>
            <w:szCs w:val="22"/>
            <w:u w:color="000000"/>
          </w:rPr>
          <w:t>análisis que os hicimos llegar</w:t>
        </w:r>
      </w:hyperlink>
      <w:r w:rsidR="00A60618">
        <w:rPr>
          <w:rFonts w:ascii="Trebuchet MS" w:eastAsiaTheme="minorEastAsia" w:hAnsi="Trebuchet MS" w:cs="Trebuchet MS"/>
          <w:color w:val="000000"/>
          <w:sz w:val="22"/>
          <w:szCs w:val="22"/>
          <w:u w:val="single" w:color="000000"/>
        </w:rPr>
        <w:t xml:space="preserve">, 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donde comparábamos algunas partidas pres</w:t>
      </w:r>
      <w:r w:rsidR="006F532A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upuestarias asignadas a Guardia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Civil y a Policía Nacional, dentro del cap</w:t>
      </w:r>
      <w:r w:rsidR="006F532A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í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tulo de</w:t>
      </w:r>
      <w:r w:rsidR="006F532A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l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</w:t>
      </w:r>
      <w:r w:rsidR="006F532A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M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inisterio de</w:t>
      </w:r>
      <w:r w:rsidR="006F532A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l I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nterior y dejando al margen aquellas propuestas realizadas por algunos grupos que, orientadas a la mejora de multitud de acuartelamientos, han sido rechazadas por falta de presupuesto, </w:t>
      </w:r>
      <w:r w:rsidR="006F532A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analizamos a continuación </w:t>
      </w:r>
      <w:r>
        <w:rPr>
          <w:rFonts w:ascii="Helvetica" w:eastAsiaTheme="minorEastAsia" w:hAnsi="Helvetica" w:cs="Helvetica"/>
          <w:color w:val="000000"/>
          <w:sz w:val="22"/>
          <w:szCs w:val="22"/>
          <w:u w:color="000000"/>
        </w:rPr>
        <w:t xml:space="preserve">el resultado y el nivel de compromiso y sensibilidad de las formaciones políticas </w:t>
      </w:r>
      <w:r w:rsidR="006F532A">
        <w:rPr>
          <w:rFonts w:ascii="Helvetica" w:eastAsiaTheme="minorEastAsia" w:hAnsi="Helvetica" w:cs="Helvetica"/>
          <w:color w:val="000000"/>
          <w:sz w:val="22"/>
          <w:szCs w:val="22"/>
          <w:u w:color="000000"/>
        </w:rPr>
        <w:t>hacia</w:t>
      </w:r>
      <w:r>
        <w:rPr>
          <w:rFonts w:ascii="Helvetica" w:eastAsiaTheme="minorEastAsia" w:hAnsi="Helvetica" w:cs="Helvetica"/>
          <w:color w:val="000000"/>
          <w:sz w:val="22"/>
          <w:szCs w:val="22"/>
          <w:u w:color="000000"/>
        </w:rPr>
        <w:t xml:space="preserve"> los guardias civiles.</w:t>
      </w:r>
    </w:p>
    <w:p w14:paraId="26B0F5B4" w14:textId="538661EB" w:rsidR="00A73857" w:rsidRDefault="00A73857" w:rsidP="00A60618">
      <w:pPr>
        <w:widowControl w:val="0"/>
        <w:autoSpaceDE w:val="0"/>
        <w:autoSpaceDN w:val="0"/>
        <w:adjustRightInd w:val="0"/>
        <w:spacing w:after="240" w:line="360" w:lineRule="auto"/>
        <w:ind w:right="-198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Las cuestiones que</w:t>
      </w:r>
      <w:r w:rsidR="006F532A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planteamos a los grupos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</w:t>
      </w:r>
      <w:r w:rsidR="00B148B8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están basadas </w:t>
      </w:r>
      <w:r w:rsidR="006F532A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en la 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necesidad de reformar la </w:t>
      </w:r>
      <w:hyperlink r:id="rId9" w:history="1">
        <w:r>
          <w:rPr>
            <w:rFonts w:ascii="Calibri" w:eastAsiaTheme="minorEastAsia" w:hAnsi="Calibri" w:cs="Calibri"/>
            <w:color w:val="0000FF"/>
            <w:sz w:val="22"/>
            <w:szCs w:val="22"/>
            <w:u w:val="single" w:color="0000FF"/>
          </w:rPr>
          <w:t>Ley del Régimen del Personal de la Guardia Civil</w:t>
        </w:r>
      </w:hyperlink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y la </w:t>
      </w:r>
      <w:hyperlink r:id="rId10" w:history="1">
        <w:r>
          <w:rPr>
            <w:rFonts w:ascii="Calibri" w:eastAsiaTheme="minorEastAsia" w:hAnsi="Calibri" w:cs="Calibri"/>
            <w:color w:val="0000FF"/>
            <w:sz w:val="22"/>
            <w:szCs w:val="22"/>
            <w:u w:val="single" w:color="0000FF"/>
          </w:rPr>
          <w:t xml:space="preserve">Ley </w:t>
        </w:r>
        <w:proofErr w:type="spellStart"/>
        <w:r>
          <w:rPr>
            <w:rFonts w:ascii="Calibri" w:eastAsiaTheme="minorEastAsia" w:hAnsi="Calibri" w:cs="Calibri"/>
            <w:color w:val="0000FF"/>
            <w:sz w:val="22"/>
            <w:szCs w:val="22"/>
            <w:u w:val="single" w:color="0000FF"/>
          </w:rPr>
          <w:t>Órganica</w:t>
        </w:r>
        <w:proofErr w:type="spellEnd"/>
        <w:r>
          <w:rPr>
            <w:rFonts w:ascii="Calibri" w:eastAsiaTheme="minorEastAsia" w:hAnsi="Calibri" w:cs="Calibri"/>
            <w:color w:val="0000FF"/>
            <w:sz w:val="22"/>
            <w:szCs w:val="22"/>
            <w:u w:val="single" w:color="0000FF"/>
          </w:rPr>
          <w:t xml:space="preserve"> reguladora de los Derechos y Deberes de los miembros de la Guardia Civil</w:t>
        </w:r>
      </w:hyperlink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, además de otras cuestiones que AUGC viene reivindicando desde su inicio</w:t>
      </w:r>
      <w:r w:rsidR="006F532A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,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como </w:t>
      </w:r>
      <w:r w:rsidR="006F532A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por ejemplo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la necesidad de dotar de mayor transparencia a la Asociación Pro-</w:t>
      </w:r>
      <w:proofErr w:type="spellStart"/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Huerfanos</w:t>
      </w:r>
      <w:proofErr w:type="spellEnd"/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de la Guardia Civil (</w:t>
      </w:r>
      <w:hyperlink r:id="rId11" w:history="1">
        <w:r>
          <w:rPr>
            <w:rFonts w:ascii="Calibri" w:eastAsiaTheme="minorEastAsia" w:hAnsi="Calibri" w:cs="Calibri"/>
            <w:color w:val="0000FF"/>
            <w:sz w:val="22"/>
            <w:szCs w:val="22"/>
            <w:u w:val="single" w:color="0000FF"/>
          </w:rPr>
          <w:t>APHGC</w:t>
        </w:r>
      </w:hyperlink>
      <w:hyperlink r:id="rId12" w:history="1">
        <w:r>
          <w:rPr>
            <w:rFonts w:ascii="Calibri" w:eastAsiaTheme="minorEastAsia" w:hAnsi="Calibri" w:cs="Calibri"/>
            <w:color w:val="0000FF"/>
            <w:sz w:val="22"/>
            <w:szCs w:val="22"/>
            <w:u w:val="single" w:color="0000FF"/>
          </w:rPr>
          <w:t>)</w:t>
        </w:r>
      </w:hyperlink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conocida por su </w:t>
      </w:r>
      <w:hyperlink r:id="rId13" w:history="1">
        <w:r>
          <w:rPr>
            <w:rFonts w:ascii="Calibri" w:eastAsiaTheme="minorEastAsia" w:hAnsi="Calibri" w:cs="Calibri"/>
            <w:color w:val="0000FF"/>
            <w:sz w:val="22"/>
            <w:szCs w:val="22"/>
            <w:u w:val="single" w:color="0000FF"/>
          </w:rPr>
          <w:t>gestión y malas inversiones</w:t>
        </w:r>
      </w:hyperlink>
      <w:r w:rsidR="006F532A">
        <w:rPr>
          <w:rFonts w:ascii="Calibri" w:eastAsiaTheme="minorEastAsia" w:hAnsi="Calibri" w:cs="Calibri"/>
          <w:color w:val="0000FF"/>
          <w:sz w:val="22"/>
          <w:szCs w:val="22"/>
          <w:u w:val="single" w:color="0000FF"/>
        </w:rPr>
        <w:t>.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</w:t>
      </w:r>
      <w:r w:rsidR="006F532A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Otra de las reclamaciones históricas de AUGC es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alcanzar definitivamente</w:t>
      </w:r>
      <w:r w:rsidR="00333E2D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[</w:t>
      </w:r>
      <w:r w:rsidR="00333E2D">
        <w:rPr>
          <w:rFonts w:ascii="Trebuchet MS" w:eastAsiaTheme="minorEastAsia" w:hAnsi="Trebuchet MS" w:cs="Trebuchet MS"/>
          <w:color w:val="FF0000"/>
          <w:sz w:val="22"/>
          <w:szCs w:val="22"/>
          <w:u w:color="000000"/>
        </w:rPr>
        <w:t>convirtiéndose en un]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</w:t>
      </w:r>
      <w:hyperlink r:id="rId14" w:history="1">
        <w:r w:rsidR="006F532A" w:rsidRPr="006F532A">
          <w:rPr>
            <w:rStyle w:val="Hipervnculo"/>
            <w:rFonts w:ascii="Trebuchet MS" w:eastAsiaTheme="minorEastAsia" w:hAnsi="Trebuchet MS" w:cs="Trebuchet MS"/>
            <w:sz w:val="22"/>
            <w:szCs w:val="22"/>
            <w:u w:color="000000"/>
          </w:rPr>
          <w:t xml:space="preserve">por medio </w:t>
        </w:r>
        <w:r w:rsidR="006F532A" w:rsidRPr="006F532A">
          <w:rPr>
            <w:rStyle w:val="Hipervnculo"/>
            <w:rFonts w:ascii="Trebuchet MS" w:eastAsiaTheme="minorEastAsia" w:hAnsi="Trebuchet MS" w:cs="Trebuchet MS"/>
            <w:sz w:val="22"/>
            <w:szCs w:val="22"/>
            <w:u w:color="000000"/>
          </w:rPr>
          <w:lastRenderedPageBreak/>
          <w:t xml:space="preserve">de un sindicato </w:t>
        </w:r>
        <w:r w:rsidRPr="006F532A">
          <w:rPr>
            <w:rStyle w:val="Hipervnculo"/>
            <w:rFonts w:ascii="Trebuchet MS" w:eastAsiaTheme="minorEastAsia" w:hAnsi="Trebuchet MS" w:cs="Trebuchet MS"/>
            <w:sz w:val="22"/>
            <w:szCs w:val="22"/>
            <w:u w:color="000000"/>
          </w:rPr>
          <w:t>una mayor capacidad de representación</w:t>
        </w:r>
      </w:hyperlink>
      <w:r w:rsidR="006F532A">
        <w:rPr>
          <w:rFonts w:ascii="Trebuchet MS" w:eastAsiaTheme="minorEastAsia" w:hAnsi="Trebuchet MS" w:cs="Trebuchet MS"/>
          <w:color w:val="000000"/>
          <w:sz w:val="22"/>
          <w:szCs w:val="22"/>
          <w:u w:val="single" w:color="000000"/>
        </w:rPr>
        <w:t xml:space="preserve"> 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del colectivo de los guardias civiles ante la Administración.</w:t>
      </w:r>
    </w:p>
    <w:p w14:paraId="30D38293" w14:textId="47F9763C" w:rsidR="00A73857" w:rsidRDefault="00B148B8" w:rsidP="00A6061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L</w:t>
      </w:r>
      <w:r w:rsidR="00A73857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a mayoría de nuestras propuestas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vienen</w:t>
      </w:r>
      <w:r w:rsidR="00A73857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motivadas por las diferencias generadas a lo largo del tiempo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. No entendemos por qué razón l</w:t>
      </w:r>
      <w:r w:rsidR="00A73857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a OG de productividad y la de Jornada Laboral están marcando diferencias en cuanto al nivel de dignidad laboral entre G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uardia Civil</w:t>
      </w:r>
      <w:r w:rsidR="00A73857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y P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olicía Nacional, algo que</w:t>
      </w:r>
      <w:r w:rsidR="00A73857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nosotros 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achacamos a</w:t>
      </w:r>
      <w:r w:rsidR="00A73857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l 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deficiente </w:t>
      </w:r>
      <w:r w:rsidR="00A73857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modelo de representación que tenemos en nuestra condición de militares, a diferencia del modelo amparado por la Ley de Libertad Sindical. </w:t>
      </w:r>
      <w:r w:rsidR="00333E2D">
        <w:rPr>
          <w:rFonts w:ascii="Trebuchet MS" w:eastAsiaTheme="minorEastAsia" w:hAnsi="Trebuchet MS" w:cs="Trebuchet MS"/>
          <w:color w:val="FF0000"/>
          <w:sz w:val="22"/>
          <w:szCs w:val="22"/>
          <w:u w:color="000000"/>
        </w:rPr>
        <w:t>¿</w:t>
      </w:r>
      <w:r w:rsidR="00A73857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Es nuestro estatus militar el que cercena nuestras posibilidades de equiparación</w:t>
      </w:r>
      <w:r w:rsidR="00333E2D">
        <w:rPr>
          <w:rFonts w:ascii="Trebuchet MS" w:eastAsiaTheme="minorEastAsia" w:hAnsi="Trebuchet MS" w:cs="Trebuchet MS"/>
          <w:color w:val="FF0000"/>
          <w:sz w:val="22"/>
          <w:szCs w:val="22"/>
          <w:u w:color="000000"/>
        </w:rPr>
        <w:t>?</w:t>
      </w:r>
      <w:r w:rsidR="00A73857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.</w:t>
      </w:r>
    </w:p>
    <w:p w14:paraId="1E2A7718" w14:textId="0D55C0ED" w:rsidR="00A73857" w:rsidRPr="00B148B8" w:rsidRDefault="00A73857" w:rsidP="00A6061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b/>
          <w:color w:val="000000"/>
          <w:sz w:val="22"/>
          <w:szCs w:val="22"/>
          <w:u w:color="000000"/>
        </w:rPr>
      </w:pPr>
      <w:r w:rsidRPr="00B148B8">
        <w:rPr>
          <w:rFonts w:ascii="Trebuchet MS" w:eastAsiaTheme="minorEastAsia" w:hAnsi="Trebuchet MS" w:cs="Trebuchet MS"/>
          <w:b/>
          <w:color w:val="000000"/>
          <w:sz w:val="22"/>
          <w:szCs w:val="22"/>
          <w:u w:color="000000"/>
        </w:rPr>
        <w:t xml:space="preserve">Nuestras propuestas a los distintos grupos </w:t>
      </w:r>
    </w:p>
    <w:p w14:paraId="327C6128" w14:textId="53D4FE75" w:rsidR="00A73857" w:rsidRDefault="00A73857" w:rsidP="00C96D19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Acomodar el funcionamiento de la Asociación Pro-</w:t>
      </w:r>
      <w:proofErr w:type="spellStart"/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Huerfanos</w:t>
      </w:r>
      <w:proofErr w:type="spellEnd"/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de la Guardia Civil a la Ley de transparencia, acceso a la información pública y buen gobierno, dando con ello cumplimiento a la LODDGC.</w:t>
      </w:r>
    </w:p>
    <w:p w14:paraId="36556483" w14:textId="77777777" w:rsidR="00C96D19" w:rsidRPr="00C96D19" w:rsidRDefault="00C96D19" w:rsidP="00C96D19">
      <w:pPr>
        <w:pStyle w:val="Prrafodelista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</w:p>
    <w:p w14:paraId="21760318" w14:textId="4839C79E" w:rsidR="00A73857" w:rsidRDefault="00A73857" w:rsidP="00C96D19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En relación a nuestra </w:t>
      </w:r>
      <w:r w:rsidR="00B148B8"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Ley de Personal hemos propuesto e</w:t>
      </w: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l requerimiento, para ingreso en el </w:t>
      </w:r>
      <w:r w:rsidR="00B148B8"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C</w:t>
      </w: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uerpo, de la titulación de </w:t>
      </w:r>
      <w:r w:rsidR="00B148B8"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B</w:t>
      </w: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achiller</w:t>
      </w:r>
      <w:r w:rsidR="00B148B8"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ato</w:t>
      </w: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o equivalente, pues ello daría a los guardias civiles un mismo estatus con respecto a</w:t>
      </w:r>
      <w:r w:rsid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la</w:t>
      </w: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Polic</w:t>
      </w:r>
      <w:r w:rsid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í</w:t>
      </w: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a Nacional, entre otros, de clasificación y pertenencia a la misma categoría de trabajo  -grupos y subgrupos- en la Ley del Estatuto Básico del Empleado Público (</w:t>
      </w:r>
      <w:hyperlink r:id="rId15" w:history="1">
        <w:r w:rsidRPr="00C96D19">
          <w:rPr>
            <w:rFonts w:ascii="Trebuchet MS" w:eastAsiaTheme="minorEastAsia" w:hAnsi="Trebuchet MS" w:cs="Trebuchet MS"/>
            <w:color w:val="0000FF"/>
            <w:sz w:val="22"/>
            <w:szCs w:val="22"/>
            <w:u w:val="single" w:color="0000FF"/>
          </w:rPr>
          <w:t>EBEP</w:t>
        </w:r>
      </w:hyperlink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), algo que afecta a nuestras retribuciones (aumentos de salario, niveles de complemento, etc</w:t>
      </w:r>
      <w:r w:rsid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étera)</w:t>
      </w: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.</w:t>
      </w:r>
    </w:p>
    <w:p w14:paraId="175668C8" w14:textId="77777777" w:rsidR="00C96D19" w:rsidRPr="00C96D19" w:rsidRDefault="00C96D19" w:rsidP="00C96D19">
      <w:pPr>
        <w:pStyle w:val="Prrafodelista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</w:p>
    <w:p w14:paraId="04FDCAB6" w14:textId="77777777" w:rsidR="00C96D19" w:rsidRPr="00C96D19" w:rsidRDefault="00C96D19" w:rsidP="00C96D19">
      <w:pPr>
        <w:pStyle w:val="Prrafodelista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</w:p>
    <w:p w14:paraId="47616691" w14:textId="4F638914" w:rsidR="00A73857" w:rsidRDefault="00A73857" w:rsidP="00C96D19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Equivalencia de estudios del régimen general educativo en función a la escala de adscripción de la Guardia Civil.</w:t>
      </w:r>
    </w:p>
    <w:p w14:paraId="52C48B3E" w14:textId="77777777" w:rsidR="00C96D19" w:rsidRPr="00C96D19" w:rsidRDefault="00C96D19" w:rsidP="00C96D19">
      <w:pPr>
        <w:pStyle w:val="Prrafodelista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</w:p>
    <w:p w14:paraId="7EA8A103" w14:textId="546DDD90" w:rsidR="00A73857" w:rsidRDefault="00A73857" w:rsidP="00C96D19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Homologación y aplicación de la normativa que regula la jornada laboral y sus turnos </w:t>
      </w:r>
      <w:r w:rsid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a la de l</w:t>
      </w: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a Policía Nacional.</w:t>
      </w:r>
    </w:p>
    <w:p w14:paraId="6D790415" w14:textId="77777777" w:rsidR="00C96D19" w:rsidRPr="00C96D19" w:rsidRDefault="00C96D19" w:rsidP="00C96D19">
      <w:pPr>
        <w:pStyle w:val="Prrafodelista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</w:p>
    <w:p w14:paraId="725978B7" w14:textId="77777777" w:rsidR="00C96D19" w:rsidRPr="00C96D19" w:rsidRDefault="00C96D19" w:rsidP="00C96D19">
      <w:pPr>
        <w:pStyle w:val="Prrafodelista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</w:p>
    <w:p w14:paraId="2635F637" w14:textId="114B0EA1" w:rsidR="00A73857" w:rsidRDefault="00A73857" w:rsidP="00C96D19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Aplicación de la normativa que regula la consolidación del grado personal por el desempeño de un puesto de trabajo de nivel superior, como en Policía Nacional.</w:t>
      </w:r>
    </w:p>
    <w:p w14:paraId="04AEDD0D" w14:textId="77777777" w:rsidR="00C96D19" w:rsidRPr="00C96D19" w:rsidRDefault="00C96D19" w:rsidP="00C96D19">
      <w:pPr>
        <w:pStyle w:val="Prrafodelista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</w:p>
    <w:p w14:paraId="7F3354D9" w14:textId="43AD9E26" w:rsidR="00A73857" w:rsidRPr="00C96D19" w:rsidRDefault="00A73857" w:rsidP="00C96D19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Creación de un catálogo de puestos de trabajo público donde se refleje la distribución </w:t>
      </w: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lastRenderedPageBreak/>
        <w:t>y forma de provisión de los mismos, nivel de complemento -destino y específico- a percibir, empleo para el que estén reservados, etc… al igual que se regula en Policía Nacional.</w:t>
      </w:r>
    </w:p>
    <w:p w14:paraId="2BE01904" w14:textId="77777777" w:rsidR="00A73857" w:rsidRDefault="00A73857" w:rsidP="00A6061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 w:rsidRPr="00C96D19">
        <w:rPr>
          <w:rFonts w:ascii="Trebuchet MS" w:eastAsiaTheme="minorEastAsia" w:hAnsi="Trebuchet MS" w:cs="Trebuchet MS"/>
          <w:b/>
          <w:color w:val="000000"/>
          <w:sz w:val="22"/>
          <w:szCs w:val="22"/>
          <w:u w:color="000000"/>
        </w:rPr>
        <w:t>En relación al marco retributivo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y de ayudas asistenciales en Guardia Civil, además de algunas cuestiones ya expuestas en el párrafo anterior, hemos propuesto:</w:t>
      </w:r>
    </w:p>
    <w:p w14:paraId="4F2C7F4D" w14:textId="2E28A42D" w:rsidR="00A73857" w:rsidRDefault="00A73857" w:rsidP="00C96D19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La equiparación de las partidas presupuestarias asignadas desde el </w:t>
      </w:r>
      <w:r w:rsid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M</w:t>
      </w: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inisterio al Plan de Acción Social de Guardia Civil y Policía Nacional, </w:t>
      </w:r>
      <w:hyperlink r:id="rId16" w:history="1">
        <w:r w:rsidRPr="00D23FF2">
          <w:rPr>
            <w:rStyle w:val="Hipervnculo"/>
            <w:rFonts w:ascii="Trebuchet MS" w:eastAsiaTheme="minorEastAsia" w:hAnsi="Trebuchet MS" w:cs="Trebuchet MS"/>
            <w:sz w:val="22"/>
            <w:szCs w:val="22"/>
            <w:u w:color="000000"/>
          </w:rPr>
          <w:t>cantidad que se diferencia en nuestro perjuicio</w:t>
        </w:r>
      </w:hyperlink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. Este aumento daría lugar a mayor ayuda por nacimiento de hijos, formación y escolarización de los mismos, formación personal, etc</w:t>
      </w:r>
      <w:r w:rsid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étera, </w:t>
      </w: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y en el mismo grado de oportunidad que el existente </w:t>
      </w:r>
      <w:r w:rsid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actualmente en la </w:t>
      </w: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Policía </w:t>
      </w:r>
      <w:r w:rsid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N</w:t>
      </w:r>
      <w:r w:rsidRPr="00C96D19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acional.</w:t>
      </w:r>
    </w:p>
    <w:p w14:paraId="21112ADA" w14:textId="77777777" w:rsidR="00D23FF2" w:rsidRPr="00C96D19" w:rsidRDefault="00D23FF2" w:rsidP="00D23FF2">
      <w:pPr>
        <w:pStyle w:val="Prrafodelista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</w:p>
    <w:p w14:paraId="791C866F" w14:textId="5F323F41" w:rsidR="00A73857" w:rsidRDefault="00A73857" w:rsidP="00D23FF2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 w:rsidRP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La equiparación del Complemento Específico Singular (CES), complemento destinado a remunerar el riesgo, la dedicación que implica la función desempeñada con respecto al otro cuerpo de seguridad dependiente del Ministerio de</w:t>
      </w:r>
      <w:r w:rsid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l</w:t>
      </w:r>
      <w:r w:rsidRP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Interior -Policía Nacional-. Actualmente existen diferencias de más de 100</w:t>
      </w:r>
      <w:r w:rsid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euros</w:t>
      </w:r>
      <w:r w:rsidRP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mensuales entre quienes menos CES perciben en </w:t>
      </w:r>
      <w:r w:rsid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la Guardia Civil (</w:t>
      </w:r>
      <w:proofErr w:type="spellStart"/>
      <w:r w:rsid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Seprose</w:t>
      </w:r>
      <w:proofErr w:type="spellEnd"/>
      <w:r w:rsidRP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, S</w:t>
      </w:r>
      <w:r w:rsid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ervicios Administrativos, etcétera</w:t>
      </w:r>
      <w:r w:rsidRP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) y sus homólogos en </w:t>
      </w:r>
      <w:r w:rsid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la </w:t>
      </w:r>
      <w:r w:rsidRP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Policía Nacional.</w:t>
      </w:r>
    </w:p>
    <w:p w14:paraId="69C6B587" w14:textId="77777777" w:rsidR="00D23FF2" w:rsidRPr="00D23FF2" w:rsidRDefault="00D23FF2" w:rsidP="00D23FF2">
      <w:pPr>
        <w:pStyle w:val="Prrafodelista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</w:p>
    <w:p w14:paraId="104CB4F4" w14:textId="77777777" w:rsidR="00D23FF2" w:rsidRPr="00D23FF2" w:rsidRDefault="00D23FF2" w:rsidP="00D23FF2">
      <w:pPr>
        <w:pStyle w:val="Prrafodelista"/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</w:p>
    <w:p w14:paraId="565E4BE1" w14:textId="5BB684A0" w:rsidR="00A73857" w:rsidRPr="00D23FF2" w:rsidRDefault="00A73857" w:rsidP="00D23FF2">
      <w:pPr>
        <w:pStyle w:val="Prrafodelista"/>
        <w:widowControl w:val="0"/>
        <w:numPr>
          <w:ilvl w:val="0"/>
          <w:numId w:val="5"/>
        </w:numPr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 w:rsidRP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Homologación de complementos retributivos existentes en FSCE</w:t>
      </w:r>
      <w:r w:rsid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,</w:t>
      </w:r>
      <w:r w:rsidRP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como </w:t>
      </w:r>
      <w:proofErr w:type="spellStart"/>
      <w:r w:rsidRP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turnicidad</w:t>
      </w:r>
      <w:proofErr w:type="spellEnd"/>
      <w:r w:rsidRP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, territorialidad y productividad. Para este último concepto se hace necesario una verdadera voluntad de gestionar su distribución con criterios objetivos enfocados a su finalidad, que es retribuir el especial rendimiento, actividad, dedicación e interés en el puesto de trabajo. </w:t>
      </w:r>
    </w:p>
    <w:p w14:paraId="7A91E4CE" w14:textId="77777777" w:rsidR="00A73857" w:rsidRDefault="00A73857" w:rsidP="00A6061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</w:p>
    <w:p w14:paraId="4A03AC85" w14:textId="040ACC9D" w:rsidR="00A73857" w:rsidRDefault="00A73857" w:rsidP="00A6061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Finalmente, </w:t>
      </w:r>
      <w:r w:rsidRPr="00D23FF2">
        <w:rPr>
          <w:rFonts w:ascii="Trebuchet MS" w:eastAsiaTheme="minorEastAsia" w:hAnsi="Trebuchet MS" w:cs="Trebuchet MS"/>
          <w:b/>
          <w:color w:val="000000"/>
          <w:sz w:val="22"/>
          <w:szCs w:val="22"/>
          <w:u w:color="000000"/>
        </w:rPr>
        <w:t>en relación a nuestra Ley Orgánica de los Derechos y Deberes de los Guardias Civiles,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 hemos propuesto:</w:t>
      </w:r>
    </w:p>
    <w:p w14:paraId="09FE438F" w14:textId="31438E08" w:rsidR="00A73857" w:rsidRDefault="00A73857" w:rsidP="00D23FF2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 w:rsidRP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La reforma de la regulación del funcionamiento del Consejo de la Guardia Civil.</w:t>
      </w:r>
    </w:p>
    <w:p w14:paraId="6DA8B252" w14:textId="77777777" w:rsidR="00D23FF2" w:rsidRPr="00D23FF2" w:rsidRDefault="00D23FF2" w:rsidP="00D23FF2">
      <w:pPr>
        <w:pStyle w:val="Prrafodelista"/>
        <w:widowControl w:val="0"/>
        <w:autoSpaceDE w:val="0"/>
        <w:autoSpaceDN w:val="0"/>
        <w:adjustRightInd w:val="0"/>
        <w:spacing w:after="240" w:line="360" w:lineRule="auto"/>
        <w:ind w:left="1065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</w:p>
    <w:p w14:paraId="7A72853C" w14:textId="19263D2C" w:rsidR="00A73857" w:rsidRDefault="00A73857" w:rsidP="00D23FF2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 w:rsidRP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 xml:space="preserve">La exención de tasas judiciales cuando las asociaciones profesionales representativas ejerciten, en el orden jurisdiccional contencioso-administrativo y </w:t>
      </w:r>
      <w:r w:rsidRP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lastRenderedPageBreak/>
        <w:t>en recursos de casación, un interés colectivo en defensa de los guardias civiles y favor de la efectividad de sus derechos profesionales, sociales y económicos</w:t>
      </w:r>
      <w:r w:rsid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.</w:t>
      </w:r>
    </w:p>
    <w:p w14:paraId="6B057FC6" w14:textId="77777777" w:rsidR="00D23FF2" w:rsidRPr="00D23FF2" w:rsidRDefault="00D23FF2" w:rsidP="00D23FF2">
      <w:pPr>
        <w:pStyle w:val="Prrafodelista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</w:p>
    <w:p w14:paraId="5878461A" w14:textId="77777777" w:rsidR="00D23FF2" w:rsidRPr="00D23FF2" w:rsidRDefault="00D23FF2" w:rsidP="00D23FF2">
      <w:pPr>
        <w:pStyle w:val="Prrafodelista"/>
        <w:widowControl w:val="0"/>
        <w:autoSpaceDE w:val="0"/>
        <w:autoSpaceDN w:val="0"/>
        <w:adjustRightInd w:val="0"/>
        <w:spacing w:after="240" w:line="360" w:lineRule="auto"/>
        <w:ind w:left="1065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</w:p>
    <w:p w14:paraId="166E4928" w14:textId="46D0BF8B" w:rsidR="00A73857" w:rsidRPr="00D23FF2" w:rsidRDefault="00A73857" w:rsidP="00D23FF2">
      <w:pPr>
        <w:pStyle w:val="Prrafodelista"/>
        <w:widowControl w:val="0"/>
        <w:numPr>
          <w:ilvl w:val="0"/>
          <w:numId w:val="6"/>
        </w:numPr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 w:rsidRP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Dotar de mayor capacidad económica a las organizaciones representativas a fin de facilitar su labor diaria con una partida presupuestaria igual a la asignada a sindicatos policiales.</w:t>
      </w:r>
    </w:p>
    <w:p w14:paraId="1FF94ED6" w14:textId="77777777" w:rsidR="00A73857" w:rsidRPr="00D23FF2" w:rsidRDefault="00A73857" w:rsidP="00A6061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b/>
          <w:color w:val="000000"/>
          <w:sz w:val="22"/>
          <w:szCs w:val="22"/>
          <w:u w:color="000000"/>
        </w:rPr>
      </w:pPr>
    </w:p>
    <w:p w14:paraId="3A523046" w14:textId="77777777" w:rsidR="00A73857" w:rsidRPr="00D23FF2" w:rsidRDefault="00A73857" w:rsidP="00A6061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b/>
          <w:color w:val="000000"/>
          <w:sz w:val="22"/>
          <w:szCs w:val="22"/>
          <w:u w:color="000000"/>
        </w:rPr>
      </w:pPr>
      <w:r w:rsidRPr="00D23FF2">
        <w:rPr>
          <w:rFonts w:ascii="Trebuchet MS" w:eastAsiaTheme="minorEastAsia" w:hAnsi="Trebuchet MS" w:cs="Trebuchet MS"/>
          <w:b/>
          <w:color w:val="000000"/>
          <w:sz w:val="22"/>
          <w:szCs w:val="22"/>
          <w:u w:color="000000"/>
        </w:rPr>
        <w:t>Otras propuestas han sido:</w:t>
      </w:r>
    </w:p>
    <w:p w14:paraId="7E12C0AC" w14:textId="37277676" w:rsidR="00A73857" w:rsidRDefault="00A73857" w:rsidP="00A6061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La consideración de gasto deducible de la cuota de afiliación a las asociaciones profesionales representativas de la Guardia Civil, en la liquidación del impuesto sobre renta de las Personas Físicas.</w:t>
      </w:r>
    </w:p>
    <w:p w14:paraId="4CF78CD2" w14:textId="272556E8" w:rsidR="00A73857" w:rsidRDefault="00A73857" w:rsidP="00A60618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Nuestros planteamientos han sido recogidos por los grupos pol</w:t>
      </w:r>
      <w:r w:rsidR="00D23FF2"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í</w:t>
      </w: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ticos, algunos con mayor interés que otros y votados, tras la presentación de las propuestas en consecuencia.</w:t>
      </w:r>
    </w:p>
    <w:p w14:paraId="4AB37E2D" w14:textId="34388C57" w:rsidR="008605C9" w:rsidRDefault="00A73857" w:rsidP="00A60618">
      <w:pPr>
        <w:spacing w:after="240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  <w:r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  <w:t>Este es nuestro cuadro comparativo:</w:t>
      </w:r>
    </w:p>
    <w:p w14:paraId="1D4713A7" w14:textId="77777777" w:rsidR="00DD4618" w:rsidRDefault="00DD4618" w:rsidP="00A60618">
      <w:pPr>
        <w:spacing w:after="240"/>
        <w:rPr>
          <w:rFonts w:ascii="Trebuchet MS" w:eastAsiaTheme="minorEastAsia" w:hAnsi="Trebuchet MS" w:cs="Trebuchet MS"/>
          <w:color w:val="000000"/>
          <w:sz w:val="22"/>
          <w:szCs w:val="22"/>
          <w:u w:color="000000"/>
        </w:rPr>
      </w:pPr>
    </w:p>
    <w:p w14:paraId="4AC9A0D8" w14:textId="0A00D16A" w:rsidR="00DD4618" w:rsidRDefault="00DD4618" w:rsidP="00A60618">
      <w:pPr>
        <w:spacing w:after="240"/>
      </w:pPr>
    </w:p>
    <w:sectPr w:rsidR="00DD4618" w:rsidSect="00AA56D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618" w:right="1106" w:bottom="2336" w:left="1440" w:header="709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A176C2" w14:textId="77777777" w:rsidR="00505E55" w:rsidRDefault="00505E55">
      <w:r>
        <w:separator/>
      </w:r>
    </w:p>
  </w:endnote>
  <w:endnote w:type="continuationSeparator" w:id="0">
    <w:p w14:paraId="641AD254" w14:textId="77777777" w:rsidR="00505E55" w:rsidRDefault="00505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04D85" w14:textId="77777777" w:rsidR="00333E2D" w:rsidRDefault="00333E2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24D88" w14:textId="77777777" w:rsidR="00333E2D" w:rsidRDefault="00333E2D" w:rsidP="00AA56D0">
    <w:pPr>
      <w:shd w:val="clear" w:color="auto" w:fill="FFFFFF"/>
      <w:rPr>
        <w:sz w:val="14"/>
        <w:szCs w:val="14"/>
      </w:rPr>
    </w:pPr>
    <w:bookmarkStart w:id="1" w:name="OLE_LINK1"/>
    <w:bookmarkStart w:id="2" w:name="OLE_LINK2"/>
    <w:r>
      <w:rPr>
        <w:sz w:val="14"/>
        <w:szCs w:val="14"/>
      </w:rPr>
      <w:t>Tel. 91.362.4586</w:t>
    </w:r>
  </w:p>
  <w:p w14:paraId="7CF5549C" w14:textId="77777777" w:rsidR="00333E2D" w:rsidRPr="001B618F" w:rsidRDefault="00333E2D" w:rsidP="00AA56D0">
    <w:pPr>
      <w:shd w:val="clear" w:color="auto" w:fill="FFFFFF"/>
      <w:rPr>
        <w:sz w:val="14"/>
        <w:szCs w:val="14"/>
      </w:rPr>
    </w:pPr>
    <w:r>
      <w:rPr>
        <w:sz w:val="14"/>
        <w:szCs w:val="14"/>
      </w:rPr>
      <w:t>Fax: 91.535.6894</w:t>
    </w:r>
  </w:p>
  <w:p w14:paraId="6ABBEEC3" w14:textId="77777777" w:rsidR="00333E2D" w:rsidRDefault="00333E2D" w:rsidP="00AA56D0">
    <w:pPr>
      <w:pStyle w:val="Piedepgina"/>
      <w:tabs>
        <w:tab w:val="clear" w:pos="4252"/>
        <w:tab w:val="clear" w:pos="8504"/>
        <w:tab w:val="left" w:pos="2340"/>
      </w:tabs>
      <w:rPr>
        <w:sz w:val="14"/>
        <w:szCs w:val="14"/>
      </w:rPr>
    </w:pPr>
    <w:r w:rsidRPr="00E77734">
      <w:rPr>
        <w:sz w:val="14"/>
        <w:szCs w:val="14"/>
      </w:rPr>
      <w:t xml:space="preserve">E-mail: </w:t>
    </w:r>
    <w:hyperlink r:id="rId1" w:history="1">
      <w:r w:rsidRPr="006C5753">
        <w:rPr>
          <w:rStyle w:val="Hipervnculo"/>
          <w:sz w:val="14"/>
          <w:szCs w:val="14"/>
        </w:rPr>
        <w:t>oficina-jdn@augc.org</w:t>
      </w:r>
    </w:hyperlink>
  </w:p>
  <w:p w14:paraId="46C3A60D" w14:textId="77777777" w:rsidR="00333E2D" w:rsidRDefault="00333E2D" w:rsidP="00AA56D0">
    <w:pPr>
      <w:pStyle w:val="Piedepgina"/>
      <w:tabs>
        <w:tab w:val="clear" w:pos="4252"/>
        <w:tab w:val="clear" w:pos="8504"/>
        <w:tab w:val="left" w:pos="2340"/>
      </w:tabs>
      <w:rPr>
        <w:sz w:val="14"/>
        <w:szCs w:val="14"/>
      </w:rPr>
    </w:pPr>
    <w:r>
      <w:rPr>
        <w:sz w:val="14"/>
        <w:szCs w:val="14"/>
      </w:rPr>
      <w:t>Av. Reina Victoria, nº 37, 2º Centro</w:t>
    </w:r>
  </w:p>
  <w:p w14:paraId="5AC61A30" w14:textId="77777777" w:rsidR="00333E2D" w:rsidRPr="00E77734" w:rsidRDefault="00333E2D" w:rsidP="00AA56D0">
    <w:pPr>
      <w:pStyle w:val="Piedepgina"/>
      <w:tabs>
        <w:tab w:val="clear" w:pos="4252"/>
        <w:tab w:val="clear" w:pos="8504"/>
        <w:tab w:val="left" w:pos="2340"/>
      </w:tabs>
      <w:rPr>
        <w:sz w:val="14"/>
        <w:szCs w:val="14"/>
      </w:rPr>
    </w:pPr>
    <w:r>
      <w:rPr>
        <w:sz w:val="14"/>
        <w:szCs w:val="14"/>
      </w:rPr>
      <w:t>28003 – Madrid.-</w:t>
    </w:r>
  </w:p>
  <w:p w14:paraId="7CE778A1" w14:textId="77777777" w:rsidR="00333E2D" w:rsidRPr="00E77734" w:rsidRDefault="00333E2D" w:rsidP="00AA56D0">
    <w:pPr>
      <w:pStyle w:val="Piedepgina"/>
      <w:tabs>
        <w:tab w:val="clear" w:pos="4252"/>
        <w:tab w:val="clear" w:pos="8504"/>
        <w:tab w:val="left" w:pos="2340"/>
      </w:tabs>
      <w:rPr>
        <w:rFonts w:ascii="Garamond" w:hAnsi="Garamond"/>
        <w:sz w:val="12"/>
        <w:szCs w:val="12"/>
      </w:rPr>
    </w:pPr>
  </w:p>
  <w:tbl>
    <w:tblPr>
      <w:tblW w:w="0" w:type="auto"/>
      <w:tblInd w:w="108" w:type="dxa"/>
      <w:shd w:val="clear" w:color="auto" w:fill="F2F1F5"/>
      <w:tblLook w:val="01E0" w:firstRow="1" w:lastRow="1" w:firstColumn="1" w:lastColumn="1" w:noHBand="0" w:noVBand="0"/>
    </w:tblPr>
    <w:tblGrid>
      <w:gridCol w:w="4500"/>
    </w:tblGrid>
    <w:tr w:rsidR="00333E2D" w:rsidRPr="007208AC" w14:paraId="74FEAF65" w14:textId="77777777" w:rsidTr="00AA56D0">
      <w:trPr>
        <w:trHeight w:val="354"/>
      </w:trPr>
      <w:tc>
        <w:tcPr>
          <w:tcW w:w="4500" w:type="dxa"/>
          <w:shd w:val="clear" w:color="auto" w:fill="F2F1F5"/>
          <w:vAlign w:val="center"/>
        </w:tcPr>
        <w:p w14:paraId="570BA67B" w14:textId="77777777" w:rsidR="00333E2D" w:rsidRPr="007208AC" w:rsidRDefault="00333E2D" w:rsidP="00AA56D0">
          <w:pPr>
            <w:pStyle w:val="Piedepgina"/>
            <w:jc w:val="center"/>
            <w:rPr>
              <w:rFonts w:ascii="Garamond" w:hAnsi="Garamond"/>
              <w:b/>
              <w:color w:val="16588A"/>
              <w:sz w:val="18"/>
              <w:szCs w:val="18"/>
            </w:rPr>
          </w:pPr>
          <w:r>
            <w:rPr>
              <w:rFonts w:ascii="Garamond" w:hAnsi="Garamond"/>
              <w:b/>
              <w:color w:val="16588A"/>
              <w:sz w:val="18"/>
              <w:szCs w:val="18"/>
            </w:rPr>
            <w:t>JUNTA DIRECTIVA NACIONAL</w:t>
          </w:r>
        </w:p>
      </w:tc>
    </w:tr>
    <w:bookmarkEnd w:id="1"/>
    <w:bookmarkEnd w:id="2"/>
  </w:tbl>
  <w:p w14:paraId="699BB96A" w14:textId="77777777" w:rsidR="00333E2D" w:rsidRPr="00E77734" w:rsidRDefault="00333E2D" w:rsidP="00AA56D0">
    <w:pPr>
      <w:pStyle w:val="Piedepgina"/>
      <w:tabs>
        <w:tab w:val="clear" w:pos="4252"/>
        <w:tab w:val="clear" w:pos="8504"/>
      </w:tabs>
      <w:rPr>
        <w:sz w:val="14"/>
        <w:szCs w:val="14"/>
      </w:rPr>
    </w:pPr>
  </w:p>
  <w:p w14:paraId="1624FDF0" w14:textId="77777777" w:rsidR="00333E2D" w:rsidRPr="00E77734" w:rsidRDefault="00333E2D" w:rsidP="00AA56D0">
    <w:pPr>
      <w:pStyle w:val="Piedepgina"/>
      <w:tabs>
        <w:tab w:val="clear" w:pos="4252"/>
        <w:tab w:val="clear" w:pos="8504"/>
        <w:tab w:val="left" w:pos="2340"/>
      </w:tabs>
      <w:rPr>
        <w:rFonts w:ascii="Garamond" w:hAnsi="Garamond"/>
        <w:sz w:val="12"/>
        <w:szCs w:val="12"/>
      </w:rPr>
    </w:pPr>
  </w:p>
  <w:p w14:paraId="242E9F47" w14:textId="77777777" w:rsidR="00333E2D" w:rsidRPr="00B73871" w:rsidRDefault="00505E55">
    <w:pPr>
      <w:pStyle w:val="Piedepgina"/>
      <w:rPr>
        <w:rFonts w:ascii="Garamond" w:hAnsi="Garamond"/>
      </w:rPr>
    </w:pPr>
    <w:r>
      <w:rPr>
        <w:rFonts w:ascii="Garamond" w:hAnsi="Garamond"/>
        <w:noProof/>
      </w:rPr>
      <w:pict w14:anchorId="286C2C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77pt;margin-top:-231.6pt;width:32.95pt;height:200.75pt;z-index:-251657216" wrapcoords="-491 0 -491 21519 21600 21519 21600 0 -491 0">
          <v:imagedata r:id="rId2" o:title="LOGOVERT"/>
          <w10:wrap type="squar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6A8AF" w14:textId="77777777" w:rsidR="00333E2D" w:rsidRDefault="00333E2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942514" w14:textId="77777777" w:rsidR="00505E55" w:rsidRDefault="00505E55">
      <w:r>
        <w:separator/>
      </w:r>
    </w:p>
  </w:footnote>
  <w:footnote w:type="continuationSeparator" w:id="0">
    <w:p w14:paraId="0D9674E1" w14:textId="77777777" w:rsidR="00505E55" w:rsidRDefault="00505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6D9CB" w14:textId="77777777" w:rsidR="00333E2D" w:rsidRDefault="00333E2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31DA7" w14:textId="77777777" w:rsidR="00333E2D" w:rsidRDefault="00505E55">
    <w:pPr>
      <w:pStyle w:val="Encabezado"/>
    </w:pPr>
    <w:r>
      <w:rPr>
        <w:noProof/>
      </w:rPr>
      <w:pict w14:anchorId="32D173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in;margin-top:-8.4pt;width:104.25pt;height:48pt;z-index:251660288">
          <v:imagedata r:id="rId1" o:title="Premio Pro Derechos Humanos 2010"/>
          <w10:wrap type="square"/>
        </v:shape>
      </w:pict>
    </w:r>
    <w:r>
      <w:pict w14:anchorId="28463501">
        <v:shape id="_x0000_i1025" type="#_x0000_t75" style="width:189pt;height:41.25pt">
          <v:imagedata r:id="rId2" o:title="LOGO%20AUGC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E31C67" w14:textId="77777777" w:rsidR="00333E2D" w:rsidRDefault="00333E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00EA"/>
    <w:multiLevelType w:val="hybridMultilevel"/>
    <w:tmpl w:val="D8D61C2A"/>
    <w:lvl w:ilvl="0" w:tplc="75A6CF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9605C0"/>
    <w:multiLevelType w:val="hybridMultilevel"/>
    <w:tmpl w:val="77321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20A46"/>
    <w:multiLevelType w:val="hybridMultilevel"/>
    <w:tmpl w:val="5C2686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D70E3"/>
    <w:multiLevelType w:val="hybridMultilevel"/>
    <w:tmpl w:val="0284BC06"/>
    <w:lvl w:ilvl="0" w:tplc="C5142162">
      <w:numFmt w:val="bullet"/>
      <w:lvlText w:val="-"/>
      <w:lvlJc w:val="left"/>
      <w:pPr>
        <w:ind w:left="495" w:hanging="360"/>
      </w:pPr>
      <w:rPr>
        <w:rFonts w:ascii="Calibri" w:eastAsia="Arial Unicode MS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5031331B"/>
    <w:multiLevelType w:val="hybridMultilevel"/>
    <w:tmpl w:val="8CC4CD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97B72"/>
    <w:multiLevelType w:val="hybridMultilevel"/>
    <w:tmpl w:val="7B6202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72"/>
    <w:rsid w:val="00333E2D"/>
    <w:rsid w:val="004525C8"/>
    <w:rsid w:val="00491616"/>
    <w:rsid w:val="00505E55"/>
    <w:rsid w:val="006015DA"/>
    <w:rsid w:val="00691FE5"/>
    <w:rsid w:val="006F532A"/>
    <w:rsid w:val="006F5C6E"/>
    <w:rsid w:val="008605C9"/>
    <w:rsid w:val="0097723B"/>
    <w:rsid w:val="009A573C"/>
    <w:rsid w:val="009F7414"/>
    <w:rsid w:val="00A60618"/>
    <w:rsid w:val="00A73857"/>
    <w:rsid w:val="00AA56D0"/>
    <w:rsid w:val="00B148B8"/>
    <w:rsid w:val="00C96D19"/>
    <w:rsid w:val="00D23FF2"/>
    <w:rsid w:val="00D60172"/>
    <w:rsid w:val="00DD4618"/>
    <w:rsid w:val="00E6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684C2518"/>
  <w14:defaultImageDpi w14:val="300"/>
  <w15:docId w15:val="{AEC72C36-3DEB-430B-A8C0-7AEFA32C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172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601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0172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rsid w:val="00D601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60172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rsid w:val="00D60172"/>
    <w:rPr>
      <w:color w:val="0000FF"/>
      <w:u w:val="single"/>
    </w:rPr>
  </w:style>
  <w:style w:type="paragraph" w:customStyle="1" w:styleId="Cuerpo">
    <w:name w:val="Cuerpo"/>
    <w:rsid w:val="00D6017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eastAsia="en-US"/>
    </w:rPr>
  </w:style>
  <w:style w:type="paragraph" w:styleId="Prrafodelista">
    <w:name w:val="List Paragraph"/>
    <w:basedOn w:val="Normal"/>
    <w:uiPriority w:val="34"/>
    <w:qFormat/>
    <w:rsid w:val="006F532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D23F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c.org/news/2017/4/6/los-presupuestos-generales-vuelven-a-revelar-que-la-guardia-civil-es-la-cenicienta-de-las-policias-menos-para-los-gastos-en-protocolo" TargetMode="External"/><Relationship Id="rId13" Type="http://schemas.openxmlformats.org/officeDocument/2006/relationships/hyperlink" Target="http://www.elconfidencialdigital.com/politica/Asociacion-Huerfanos-Gescartera-Brothers-EUR_0_1343865627.html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www.augc.org/news/2017/5/5/augc-se-reune-con-todos-los-grupos-parlamentarios-para-trasladarles-las-necesidades-de-los-guardias-civiles-ante-los-presupuestos-del-estado" TargetMode="External"/><Relationship Id="rId12" Type="http://schemas.openxmlformats.org/officeDocument/2006/relationships/hyperlink" Target="http://www.aphgc.org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augc.org/news/2017/4/6/los-presupuestos-generales-vuelven-a-revelar-que-la-guardia-civil-es-la-cenicienta-de-las-policias-menos-para-los-gastos-en-protocolo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ple.es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boe.es/buscar/act.php?id=BOE-A-2015-1171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oe.es/buscar/act.php?id=BOE-A-2007-1839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boe.es/diario_boe/txt.php?id=BOE-A-2014-12408" TargetMode="External"/><Relationship Id="rId14" Type="http://schemas.openxmlformats.org/officeDocument/2006/relationships/hyperlink" Target="http://www.augc.org/news/2014/10/15/augc-pone-en-marcha-un-sindicato-profesional-de-guardias-civiles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ficina-jdn@augc.or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</dc:creator>
  <cp:keywords/>
  <dc:description/>
  <cp:lastModifiedBy>Ildefonso García Ruiz</cp:lastModifiedBy>
  <cp:revision>2</cp:revision>
  <dcterms:created xsi:type="dcterms:W3CDTF">2017-07-17T09:36:00Z</dcterms:created>
  <dcterms:modified xsi:type="dcterms:W3CDTF">2017-07-17T09:36:00Z</dcterms:modified>
</cp:coreProperties>
</file>